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rFonts w:ascii="Arial" w:cs="Arial" w:eastAsia="Arial" w:hAnsi="Arial"/>
          <w:b/>
          <w:bCs/>
          <w:color w:val="1F3864"/>
          <w:sz w:val="28"/>
          <w:szCs w:val="28"/>
        </w:rPr>
        <w:t xml:space="preserve">Ahlibank Q.P.S.C.</w:t>
      </w:r>
    </w:p>
    <w:p>
      <w:pPr>
        <w:spacing w:after="120"/>
        <w:jc w:val="center"/>
      </w:pPr>
      <w:r>
        <w:rPr>
          <w:rFonts w:ascii="Arial" w:cs="Arial" w:eastAsia="Arial" w:hAnsi="Arial"/>
          <w:b/>
          <w:bCs/>
          <w:sz w:val="32"/>
          <w:szCs w:val="32"/>
        </w:rPr>
        <w:t xml:space="preserve">Credit Appraisal Memorandum</w:t>
      </w:r>
    </w:p>
    <w:p>
      <w:pPr>
        <w:spacing w:after="240"/>
        <w:jc w:val="center"/>
      </w:pPr>
      <w:r>
        <w:rPr>
          <w:rFonts w:ascii="Arial" w:cs="Arial" w:eastAsia="Arial" w:hAnsi="Arial"/>
          <w:sz w:val="22"/>
          <w:szCs w:val="22"/>
        </w:rPr>
        <w:t xml:space="preserve">Private Banking &amp; Wealth Management</w:t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c>
          <w:tcPr>
            <w:tcW w:type="pct" w:w="30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Date</w:t>
            </w:r>
          </w:p>
        </w:tc>
        <w:tc>
          <w:tcPr>
            <w:tcW w:type="pct" w:w="70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26 Aug 2026</w:t>
            </w:r>
          </w:p>
        </w:tc>
      </w:tr>
      <w:tr>
        <w:tc>
          <w:tcPr>
            <w:tcW w:type="pct" w:w="30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Ref No.</w:t>
            </w:r>
          </w:p>
        </w:tc>
        <w:tc>
          <w:tcPr>
            <w:tcW w:type="pct" w:w="70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CAM-0001/2026</w:t>
            </w:r>
          </w:p>
        </w:tc>
      </w:tr>
      <w:tr>
        <w:tc>
          <w:tcPr>
            <w:tcW w:type="pct" w:w="30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Client Name</w:t>
            </w:r>
          </w:p>
        </w:tc>
        <w:tc>
          <w:tcPr>
            <w:tcW w:type="pct" w:w="70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Demo PE Holdco L.L.C.</w:t>
            </w:r>
          </w:p>
        </w:tc>
      </w:tr>
      <w:tr>
        <w:tc>
          <w:tcPr>
            <w:tcW w:type="pct" w:w="30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Risk Rating</w:t>
            </w:r>
          </w:p>
        </w:tc>
        <w:tc>
          <w:tcPr>
            <w:tcW w:type="pct" w:w="70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pct" w:w="30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Account Number</w:t>
            </w:r>
          </w:p>
        </w:tc>
        <w:tc>
          <w:tcPr>
            <w:tcW w:type="pct" w:w="70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New Account (to be opened)</w:t>
            </w:r>
          </w:p>
        </w:tc>
      </w:tr>
      <w:tr>
        <w:tc>
          <w:tcPr>
            <w:tcW w:type="pct" w:w="30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Related to Group</w:t>
            </w:r>
          </w:p>
        </w:tc>
        <w:tc>
          <w:tcPr>
            <w:tcW w:type="pct" w:w="70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Demo Investment Group (via WB Trust)</w:t>
            </w:r>
          </w:p>
        </w:tc>
      </w:tr>
      <w:tr>
        <w:tc>
          <w:tcPr>
            <w:tcW w:type="pct" w:w="30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Purpose</w:t>
            </w:r>
          </w:p>
        </w:tc>
        <w:tc>
          <w:tcPr>
            <w:tcW w:type="pct" w:w="70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Demand loan facility of up to USD 100 MM to finance investments in global private-equity funds managed by Tier-1 fund managers, part-refinancing investments already made from own funds.</w:t>
            </w:r>
          </w:p>
        </w:tc>
      </w:tr>
    </w:tbl>
    <w:p>
      <w:r>
        <w:br w:type="page"/>
      </w:r>
    </w:p>
    <w:p>
      <w:pPr>
        <w:pStyle w:val="Heading1"/>
        <w:spacing w:after="120" w:before="24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Tracking Sheet</w:t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c>
          <w:tcPr>
            <w:tcW w:type="pct" w:w="30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Borrower</w:t>
            </w:r>
          </w:p>
        </w:tc>
        <w:tc>
          <w:tcPr>
            <w:tcW w:type="pct" w:w="70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Demo PE Holdco L.L.C.</w:t>
            </w:r>
          </w:p>
        </w:tc>
      </w:tr>
      <w:tr>
        <w:tc>
          <w:tcPr>
            <w:tcW w:type="pct" w:w="30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Account Number</w:t>
            </w:r>
          </w:p>
        </w:tc>
        <w:tc>
          <w:tcPr>
            <w:tcW w:type="pct" w:w="70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New Account</w:t>
            </w:r>
          </w:p>
        </w:tc>
      </w:tr>
    </w:tbl>
    <w:p>
      <w:pPr>
        <w:spacing w:after="60"/>
      </w:pPr>
      <w:r>
        <w:rPr>
          <w:rFonts w:ascii="Arial" w:cs="Arial" w:eastAsia="Arial" w:hAnsi="Arial"/>
          <w:sz w:val="20"/>
          <w:szCs w:val="20"/>
        </w:rPr>
        <w:t xml:space="preserve"/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Unit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Name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Out-Date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Action / Signature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Relationship Manager (Business Unit)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Sara Al-Kuwari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26 Aug 2026 17:44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submit → CAM Preparation — Application pack complete.</w:t>
            </w:r>
          </w:p>
        </w:tc>
      </w:tr>
    </w:tbl>
    <w:p>
      <w:pPr>
        <w:spacing w:after="6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spacing w:after="12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Approval: —</w:t>
      </w:r>
    </w:p>
    <w:p>
      <w:r>
        <w:br w:type="page"/>
      </w:r>
    </w:p>
    <w:p>
      <w:pPr>
        <w:pStyle w:val="Heading1"/>
        <w:spacing w:after="120" w:before="24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Approval</w:t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c>
          <w:tcPr>
            <w:tcW w:type="pct" w:w="30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Borrower</w:t>
            </w:r>
          </w:p>
        </w:tc>
        <w:tc>
          <w:tcPr>
            <w:tcW w:type="pct" w:w="70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Demo PE Holdco L.L.C.</w:t>
            </w:r>
          </w:p>
        </w:tc>
      </w:tr>
      <w:tr>
        <w:tc>
          <w:tcPr>
            <w:tcW w:type="pct" w:w="30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Account Number</w:t>
            </w:r>
          </w:p>
        </w:tc>
        <w:tc>
          <w:tcPr>
            <w:tcW w:type="pct" w:w="70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New Account</w:t>
            </w:r>
          </w:p>
        </w:tc>
      </w:tr>
      <w:tr>
        <w:tc>
          <w:tcPr>
            <w:tcW w:type="pct" w:w="30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Risk Rating</w:t>
            </w:r>
          </w:p>
        </w:tc>
        <w:tc>
          <w:tcPr>
            <w:tcW w:type="pct" w:w="70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pct" w:w="30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Purpose</w:t>
            </w:r>
          </w:p>
        </w:tc>
        <w:tc>
          <w:tcPr>
            <w:tcW w:type="pct" w:w="70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Demand loan facility of up to USD 100 MM to finance investments in global private-equity funds managed by Tier-1 fund managers, part-refinancing investments already made from own funds.</w:t>
            </w:r>
          </w:p>
        </w:tc>
      </w:tr>
    </w:tbl>
    <w:p>
      <w:pPr>
        <w:spacing w:after="60"/>
      </w:pPr>
      <w:r>
        <w:rPr>
          <w:rFonts w:ascii="Arial" w:cs="Arial" w:eastAsia="Arial" w:hAnsi="Arial"/>
          <w:sz w:val="20"/>
          <w:szCs w:val="20"/>
        </w:rPr>
        <w:t xml:space="preserve"/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c>
          <w:tcPr>
            <w:gridSpan w:val="2"/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Level 2 — Recommenders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gridSpan w:val="2"/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Level 1 — Approvers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</w:tbl>
    <w:p>
      <w:pPr>
        <w:spacing w:after="60"/>
      </w:pPr>
      <w:r>
        <w:rPr>
          <w:rFonts w:ascii="Arial" w:cs="Arial" w:eastAsia="Arial" w:hAnsi="Arial"/>
          <w:sz w:val="20"/>
          <w:szCs w:val="20"/>
        </w:rPr>
        <w:t xml:space="preserve"/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Committee member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Designation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Approved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Declined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Comment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1"/>
        <w:spacing w:after="120" w:before="24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Facility Limit Summary</w:t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c>
          <w:tcPr>
            <w:tcW w:type="pct" w:w="30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Group Name</w:t>
            </w:r>
          </w:p>
        </w:tc>
        <w:tc>
          <w:tcPr>
            <w:tcW w:type="pct" w:w="70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Demo Investment Group</w:t>
            </w:r>
          </w:p>
        </w:tc>
      </w:tr>
      <w:tr>
        <w:tc>
          <w:tcPr>
            <w:tcW w:type="pct" w:w="30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Relationship Manager</w:t>
            </w:r>
          </w:p>
        </w:tc>
        <w:tc>
          <w:tcPr>
            <w:tcW w:type="pct" w:w="70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Sara Al-Kuwari</w:t>
            </w:r>
          </w:p>
        </w:tc>
      </w:tr>
      <w:tr>
        <w:tc>
          <w:tcPr>
            <w:tcW w:type="pct" w:w="30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Department</w:t>
            </w:r>
          </w:p>
        </w:tc>
        <w:tc>
          <w:tcPr>
            <w:tcW w:type="pct" w:w="70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Private Banking &amp; Wealth Management</w:t>
            </w:r>
          </w:p>
        </w:tc>
      </w:tr>
      <w:tr>
        <w:tc>
          <w:tcPr>
            <w:tcW w:type="pct" w:w="30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Submitted by</w:t>
            </w:r>
          </w:p>
        </w:tc>
        <w:tc>
          <w:tcPr>
            <w:tcW w:type="pct" w:w="70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PB</w:t>
            </w:r>
          </w:p>
        </w:tc>
      </w:tr>
      <w:tr>
        <w:tc>
          <w:tcPr>
            <w:tcW w:type="pct" w:w="30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ROCE %</w:t>
            </w:r>
          </w:p>
        </w:tc>
        <w:tc>
          <w:tcPr>
            <w:tcW w:type="pct" w:w="70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pct" w:w="30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Limit % of Capital Base</w:t>
            </w:r>
          </w:p>
        </w:tc>
        <w:tc>
          <w:tcPr>
            <w:tcW w:type="pct" w:w="70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4.56%</w:t>
            </w:r>
          </w:p>
        </w:tc>
      </w:tr>
    </w:tbl>
    <w:p>
      <w:pPr>
        <w:spacing w:after="60"/>
      </w:pPr>
      <w:r>
        <w:rPr>
          <w:rFonts w:ascii="Arial" w:cs="Arial" w:eastAsia="Arial" w:hAnsi="Arial"/>
          <w:sz w:val="20"/>
          <w:szCs w:val="20"/>
        </w:rPr>
        <w:t xml:space="preserve"/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#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Borrower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Account No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RR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Domicile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Industry / Sector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Co. Type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Demo PE Holdco L.L.C.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New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QFC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Financial Services – Investment Funds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S</w:t>
            </w:r>
          </w:p>
        </w:tc>
      </w:tr>
    </w:tbl>
    <w:p>
      <w:pPr>
        <w:spacing w:after="120"/>
      </w:pPr>
      <w:r>
        <w:rPr>
          <w:rFonts w:ascii="Arial" w:cs="Arial" w:eastAsia="Arial" w:hAnsi="Arial"/>
          <w:i/>
          <w:iCs/>
          <w:color w:val="595959"/>
          <w:sz w:val="16"/>
          <w:szCs w:val="16"/>
        </w:rPr>
        <w:t xml:space="preserve">Figures in QAR 000's — USD converted at parity 3.65</w:t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#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Facility type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Existing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Proposed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Change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O/s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Pricing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Collateral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Demand Loan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365,000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365,000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3M SOFR + 2.75%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Pledge over PE fund units; corporate guarantee</w:t>
            </w:r>
          </w:p>
        </w:tc>
      </w:tr>
      <w:tr>
        <w:tc>
          <w:tcPr>
            <w:gridSpan w:val="3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SUB-TOTAL</w:t>
            </w:r>
          </w:p>
        </w:tc>
        <w:tc>
          <w:tcPr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365,000</w:t>
            </w:r>
          </w:p>
        </w:tc>
        <w:tc>
          <w:tcPr>
            <w:gridSpan w:val="2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Limit expiry: —</w:t>
            </w:r>
          </w:p>
        </w:tc>
        <w:tc>
          <w:tcPr>
            <w:gridSpan w:val="2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Large Exposure: N   Related Director: N</w:t>
            </w:r>
          </w:p>
        </w:tc>
      </w:tr>
      <w:tr>
        <w:tc>
          <w:tcPr>
            <w:gridSpan w:val="3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RELATED EXPOSURE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NIL</w:t>
            </w:r>
          </w:p>
        </w:tc>
        <w:tc>
          <w:tcPr>
            <w:gridSpan w:val="4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gridSpan w:val="3"/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GRAND TOTAL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365,000</w:t>
            </w:r>
          </w:p>
        </w:tc>
        <w:tc>
          <w:tcPr>
            <w:gridSpan w:val="4"/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</w:tbl>
    <w:p>
      <w:pPr>
        <w:spacing w:after="12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spacing w:after="12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Business Unit</w:t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</w:tblGrid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Prepared by</w:t>
            </w:r>
          </w:p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  <w:p>
            <w:r>
              <w:rPr>
                <w:rFonts w:ascii="Arial" w:cs="Arial" w:eastAsia="Arial" w:hAnsi="Arial"/>
                <w:color w:val="595959"/>
                <w:sz w:val="16"/>
                <w:szCs w:val="16"/>
              </w:rPr>
              <w:t xml:space="preserve"/>
            </w:r>
          </w:p>
          <w:p>
            <w:r>
              <w:rPr>
                <w:rFonts w:ascii="Arial" w:cs="Arial" w:eastAsia="Arial" w:hAnsi="Arial"/>
                <w:i/>
                <w:iCs/>
                <w:color w:val="595959"/>
                <w:sz w:val="14"/>
                <w:szCs w:val="14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Recommended by</w:t>
            </w:r>
          </w:p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  <w:p>
            <w:r>
              <w:rPr>
                <w:rFonts w:ascii="Arial" w:cs="Arial" w:eastAsia="Arial" w:hAnsi="Arial"/>
                <w:color w:val="595959"/>
                <w:sz w:val="16"/>
                <w:szCs w:val="16"/>
              </w:rPr>
              <w:t xml:space="preserve"/>
            </w:r>
          </w:p>
          <w:p>
            <w:r>
              <w:rPr>
                <w:rFonts w:ascii="Arial" w:cs="Arial" w:eastAsia="Arial" w:hAnsi="Arial"/>
                <w:i/>
                <w:iCs/>
                <w:color w:val="595959"/>
                <w:sz w:val="14"/>
                <w:szCs w:val="14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Concurred by</w:t>
            </w:r>
          </w:p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  <w:p>
            <w:r>
              <w:rPr>
                <w:rFonts w:ascii="Arial" w:cs="Arial" w:eastAsia="Arial" w:hAnsi="Arial"/>
                <w:color w:val="595959"/>
                <w:sz w:val="16"/>
                <w:szCs w:val="16"/>
              </w:rPr>
              <w:t xml:space="preserve"/>
            </w:r>
          </w:p>
          <w:p>
            <w:r>
              <w:rPr>
                <w:rFonts w:ascii="Arial" w:cs="Arial" w:eastAsia="Arial" w:hAnsi="Arial"/>
                <w:i/>
                <w:iCs/>
                <w:color w:val="595959"/>
                <w:sz w:val="14"/>
                <w:szCs w:val="14"/>
              </w:rPr>
              <w:t xml:space="preserve"/>
            </w:r>
          </w:p>
        </w:tc>
      </w:tr>
    </w:tbl>
    <w:p>
      <w:pPr>
        <w:spacing w:after="12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spacing w:after="12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Risk Management</w:t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Reviewed by</w:t>
            </w:r>
          </w:p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  <w:p>
            <w:r>
              <w:rPr>
                <w:rFonts w:ascii="Arial" w:cs="Arial" w:eastAsia="Arial" w:hAnsi="Arial"/>
                <w:color w:val="595959"/>
                <w:sz w:val="16"/>
                <w:szCs w:val="16"/>
              </w:rPr>
              <w:t xml:space="preserve"/>
            </w:r>
          </w:p>
          <w:p>
            <w:r>
              <w:rPr>
                <w:rFonts w:ascii="Arial" w:cs="Arial" w:eastAsia="Arial" w:hAnsi="Arial"/>
                <w:i/>
                <w:iCs/>
                <w:color w:val="595959"/>
                <w:sz w:val="14"/>
                <w:szCs w:val="14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Concurred by</w:t>
            </w:r>
          </w:p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  <w:p>
            <w:r>
              <w:rPr>
                <w:rFonts w:ascii="Arial" w:cs="Arial" w:eastAsia="Arial" w:hAnsi="Arial"/>
                <w:color w:val="595959"/>
                <w:sz w:val="16"/>
                <w:szCs w:val="16"/>
              </w:rPr>
              <w:t xml:space="preserve"/>
            </w:r>
          </w:p>
          <w:p>
            <w:r>
              <w:rPr>
                <w:rFonts w:ascii="Arial" w:cs="Arial" w:eastAsia="Arial" w:hAnsi="Arial"/>
                <w:i/>
                <w:iCs/>
                <w:color w:val="595959"/>
                <w:sz w:val="14"/>
                <w:szCs w:val="14"/>
              </w:rPr>
              <w:t xml:space="preserve"/>
            </w:r>
          </w:p>
        </w:tc>
      </w:tr>
      <w:tr>
        <w:tc>
          <w:tcPr>
            <w:gridSpan w:val="2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Condition(s) for Approval:</w:t>
            </w:r>
          </w:p>
        </w:tc>
      </w:tr>
    </w:tbl>
    <w:p>
      <w:r>
        <w:br w:type="page"/>
      </w:r>
    </w:p>
    <w:p>
      <w:pPr>
        <w:pStyle w:val="Heading1"/>
        <w:spacing w:after="120" w:before="24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I. Nature of Request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808080"/>
          <w:sz w:val="20"/>
          <w:szCs w:val="20"/>
        </w:rPr>
        <w:t xml:space="preserve">[Section not yet drafted]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1F3864"/>
          <w:sz w:val="22"/>
          <w:szCs w:val="22"/>
        </w:rPr>
        <w:t xml:space="preserve">Brief Details of Borrower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808080"/>
          <w:sz w:val="20"/>
          <w:szCs w:val="20"/>
        </w:rPr>
        <w:t xml:space="preserve">[Section not yet drafted]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1F3864"/>
          <w:sz w:val="22"/>
          <w:szCs w:val="22"/>
        </w:rPr>
        <w:t xml:space="preserve">Brief Details of Guarantor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808080"/>
          <w:sz w:val="20"/>
          <w:szCs w:val="20"/>
        </w:rPr>
        <w:t xml:space="preserve">[Section not yet drafted]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1F3864"/>
          <w:sz w:val="22"/>
          <w:szCs w:val="22"/>
        </w:rPr>
        <w:t xml:space="preserve">Overview of the Transaction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808080"/>
          <w:sz w:val="20"/>
          <w:szCs w:val="20"/>
        </w:rPr>
        <w:t xml:space="preserve">[Section not yet drafted]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1F3864"/>
          <w:sz w:val="22"/>
          <w:szCs w:val="22"/>
        </w:rPr>
        <w:t xml:space="preserve">Modus Operandi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808080"/>
          <w:sz w:val="20"/>
          <w:szCs w:val="20"/>
        </w:rPr>
        <w:t xml:space="preserve">[Section not yet drafted]</w:t>
      </w:r>
    </w:p>
    <w:p>
      <w:pPr>
        <w:pStyle w:val="Heading1"/>
        <w:spacing w:after="120" w:before="24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II. Terms Sheet</w:t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c>
          <w:tcPr>
            <w:tcW w:type="pct" w:w="25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Facility Type</w:t>
            </w:r>
          </w:p>
        </w:tc>
        <w:tc>
          <w:tcPr>
            <w:tcW w:type="pct" w:w="75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Demand Loan</w:t>
            </w:r>
          </w:p>
        </w:tc>
      </w:tr>
      <w:tr>
        <w:tc>
          <w:tcPr>
            <w:tcW w:type="pct" w:w="25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Facility Amount</w:t>
            </w:r>
          </w:p>
        </w:tc>
        <w:tc>
          <w:tcPr>
            <w:tcW w:type="pct" w:w="75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USD 100.0 MM (QAR 365,000K)</w:t>
            </w:r>
          </w:p>
        </w:tc>
      </w:tr>
      <w:tr>
        <w:tc>
          <w:tcPr>
            <w:tcW w:type="pct" w:w="25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Purpose</w:t>
            </w:r>
          </w:p>
        </w:tc>
        <w:tc>
          <w:tcPr>
            <w:tcW w:type="pct" w:w="75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Demand loan facility of up to USD 100 MM to finance investments in global private-equity funds managed by Tier-1 fund managers, part-refinancing investments already made from own funds.</w:t>
            </w:r>
          </w:p>
        </w:tc>
      </w:tr>
      <w:tr>
        <w:tc>
          <w:tcPr>
            <w:tcW w:type="pct" w:w="25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Interest Rate</w:t>
            </w:r>
          </w:p>
        </w:tc>
        <w:tc>
          <w:tcPr>
            <w:tcW w:type="pct" w:w="75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3M SOFR + 2.75% p.a. (max all-in 8.50%)</w:t>
            </w:r>
          </w:p>
        </w:tc>
      </w:tr>
      <w:tr>
        <w:tc>
          <w:tcPr>
            <w:tcW w:type="pct" w:w="25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Management Fee</w:t>
            </w:r>
          </w:p>
        </w:tc>
        <w:tc>
          <w:tcPr>
            <w:tcW w:type="pct" w:w="75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0.50% p.a. on the facility limit</w:t>
            </w:r>
          </w:p>
        </w:tc>
      </w:tr>
      <w:tr>
        <w:tc>
          <w:tcPr>
            <w:tcW w:type="pct" w:w="25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Commitment Fee</w:t>
            </w:r>
          </w:p>
        </w:tc>
        <w:tc>
          <w:tcPr>
            <w:tcW w:type="pct" w:w="75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0.50% p.a. on the undisbursed balance</w:t>
            </w:r>
          </w:p>
        </w:tc>
      </w:tr>
      <w:tr>
        <w:tc>
          <w:tcPr>
            <w:tcW w:type="pct" w:w="25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Prepayment Fee</w:t>
            </w:r>
          </w:p>
        </w:tc>
        <w:tc>
          <w:tcPr>
            <w:tcW w:type="pct" w:w="75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1.00%</w:t>
            </w:r>
          </w:p>
        </w:tc>
      </w:tr>
      <w:tr>
        <w:tc>
          <w:tcPr>
            <w:tcW w:type="pct" w:w="25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Tenor</w:t>
            </w:r>
          </w:p>
        </w:tc>
        <w:tc>
          <w:tcPr>
            <w:tcW w:type="pct" w:w="75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15 years (6-year availability period)</w:t>
            </w:r>
          </w:p>
        </w:tc>
      </w:tr>
      <w:tr>
        <w:tc>
          <w:tcPr>
            <w:tcW w:type="pct" w:w="25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Disbursement</w:t>
            </w:r>
          </w:p>
        </w:tc>
        <w:tc>
          <w:tcPr>
            <w:tcW w:type="pct" w:w="75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12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pct" w:w="25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Repayment</w:t>
            </w:r>
          </w:p>
        </w:tc>
        <w:tc>
          <w:tcPr>
            <w:tcW w:type="pct" w:w="75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12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pct" w:w="25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Security / Support</w:t>
            </w:r>
          </w:p>
        </w:tc>
        <w:tc>
          <w:tcPr>
            <w:tcW w:type="pct" w:w="75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12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pct" w:w="25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Conditions Precedent</w:t>
            </w:r>
          </w:p>
        </w:tc>
        <w:tc>
          <w:tcPr>
            <w:tcW w:type="pct" w:w="75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12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pct" w:w="25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Performance Monitoring</w:t>
            </w:r>
          </w:p>
        </w:tc>
        <w:tc>
          <w:tcPr>
            <w:tcW w:type="pct" w:w="75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12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pct" w:w="25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Terms &amp; Conditions</w:t>
            </w:r>
          </w:p>
        </w:tc>
        <w:tc>
          <w:tcPr>
            <w:tcW w:type="pct" w:w="75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12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pct" w:w="25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Covenants</w:t>
            </w:r>
          </w:p>
        </w:tc>
        <w:tc>
          <w:tcPr>
            <w:tcW w:type="pct" w:w="75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12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pct" w:w="25%"/>
            <w:shd w:fill="F2F2F2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Governing Law</w:t>
            </w:r>
          </w:p>
        </w:tc>
        <w:tc>
          <w:tcPr>
            <w:tcW w:type="pct" w:w="75%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Qatari Law</w:t>
            </w:r>
          </w:p>
        </w:tc>
      </w:tr>
    </w:tbl>
    <w:p>
      <w:pPr>
        <w:pStyle w:val="Heading1"/>
        <w:spacing w:after="120" w:before="24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III. Borrower Background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808080"/>
          <w:sz w:val="20"/>
          <w:szCs w:val="20"/>
        </w:rPr>
        <w:t xml:space="preserve">[Section not yet drafted]</w:t>
      </w:r>
    </w:p>
    <w:p>
      <w:pPr>
        <w:pStyle w:val="Heading1"/>
        <w:spacing w:after="120" w:before="24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IV. Industry Analysis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808080"/>
          <w:sz w:val="20"/>
          <w:szCs w:val="20"/>
        </w:rPr>
        <w:t xml:space="preserve">[Section not yet drafted]</w:t>
      </w:r>
    </w:p>
    <w:p>
      <w:pPr>
        <w:pStyle w:val="Heading1"/>
        <w:spacing w:after="120" w:before="24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V. Financial Analysis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808080"/>
          <w:sz w:val="20"/>
          <w:szCs w:val="20"/>
        </w:rPr>
        <w:t xml:space="preserve">[Section not yet drafted]</w:t>
      </w:r>
    </w:p>
    <w:p>
      <w:pPr>
        <w:pStyle w:val="Heading1"/>
        <w:spacing w:after="120" w:before="24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VI. Account Conduct &amp; Profitability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808080"/>
          <w:sz w:val="20"/>
          <w:szCs w:val="20"/>
        </w:rPr>
        <w:t xml:space="preserve">New relationship — not applicable.</w:t>
      </w:r>
    </w:p>
    <w:p>
      <w:pPr>
        <w:pStyle w:val="Heading1"/>
        <w:spacing w:after="120" w:before="24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VII. QCB and Credit Bureau Reports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808080"/>
          <w:sz w:val="20"/>
          <w:szCs w:val="20"/>
        </w:rPr>
        <w:t xml:space="preserve">[Section not yet drafted]</w:t>
      </w:r>
    </w:p>
    <w:p>
      <w:pPr>
        <w:pStyle w:val="Heading1"/>
        <w:spacing w:after="120" w:before="24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VIII. Sources of Repayment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808080"/>
          <w:sz w:val="20"/>
          <w:szCs w:val="20"/>
        </w:rPr>
        <w:t xml:space="preserve">[Section not yet drafted]</w:t>
      </w:r>
    </w:p>
    <w:p>
      <w:pPr>
        <w:pStyle w:val="Heading1"/>
        <w:spacing w:after="120" w:before="24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IX. Risk Rating</w:t>
      </w:r>
    </w:p>
    <w:p>
      <w:pPr>
        <w:spacing w:after="12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Proposed rating: —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808080"/>
          <w:sz w:val="20"/>
          <w:szCs w:val="20"/>
        </w:rPr>
        <w:t xml:space="preserve"/>
      </w:r>
    </w:p>
    <w:p>
      <w:pPr>
        <w:pStyle w:val="Heading1"/>
        <w:spacing w:after="120" w:before="24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X. Risks &amp; Mitigants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808080"/>
          <w:sz w:val="20"/>
          <w:szCs w:val="20"/>
        </w:rPr>
        <w:t xml:space="preserve">[Section not yet drafted]</w:t>
      </w:r>
    </w:p>
    <w:p>
      <w:pPr>
        <w:pStyle w:val="Heading1"/>
        <w:spacing w:after="120" w:before="24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XI. Recommendation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808080"/>
          <w:sz w:val="20"/>
          <w:szCs w:val="20"/>
        </w:rPr>
        <w:t xml:space="preserve">[Section not yet drafted]</w:t>
      </w:r>
    </w:p>
    <w:p>
      <w:pPr>
        <w:pStyle w:val="Heading1"/>
        <w:spacing w:after="120" w:before="24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XII. Appendix</w:t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#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Attachment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Category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Pages</w:t>
            </w:r>
          </w:p>
        </w:tc>
        <w:tc>
          <w:tcPr>
            <w:shd w:fill="D9D9D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Uploaded</w:t>
            </w:r>
          </w:p>
        </w:tc>
      </w:tr>
    </w:tbl>
    <w:p>
      <w:pPr>
        <w:spacing w:after="12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spacing w:after="120"/>
      </w:pPr>
      <w:r>
        <w:rPr>
          <w:rFonts w:ascii="Arial" w:cs="Arial" w:eastAsia="Arial" w:hAnsi="Arial"/>
          <w:i/>
          <w:iCs/>
          <w:color w:val="808080"/>
          <w:sz w:val="16"/>
          <w:szCs w:val="16"/>
        </w:rPr>
        <w:t xml:space="preserve">Generated by the CAM Portal on 26 Aug 2026 20:37 — stage 2: CAM Preparation.</w:t>
      </w:r>
    </w:p>
    <w:sectPr>
      <w:headerReference w:type="default" r:id="rId7"/>
      <w:footerReference w:type="default" r:id="rId8"/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rFonts w:ascii="Arial" w:cs="Arial" w:eastAsia="Arial" w:hAnsi="Arial"/>
        <w:color w:val="808080"/>
        <w:sz w:val="16"/>
        <w:szCs w:val="16"/>
      </w:rPr>
      <w:t xml:space="preserve">CONFIDENTIAL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120"/>
      <w:jc w:val="right"/>
    </w:pPr>
    <w:r>
      <w:rPr>
        <w:rFonts w:ascii="Arial" w:cs="Arial" w:eastAsia="Arial" w:hAnsi="Arial"/>
        <w:color w:val="808080"/>
        <w:sz w:val="16"/>
        <w:szCs w:val="16"/>
      </w:rPr>
      <w:t xml:space="preserve">Ahlibank Q.P.S.C. — Credit Appraisal Memorandum — CAM-0001/2026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 CAM-0001/2026</dc:title>
  <dc:creator>CAM Portal</dc:creator>
  <cp:lastModifiedBy>Un-named</cp:lastModifiedBy>
  <cp:revision>1</cp:revision>
  <dcterms:created xsi:type="dcterms:W3CDTF">2026-08-26T10:37:16.283Z</dcterms:created>
  <dcterms:modified xsi:type="dcterms:W3CDTF">2026-08-26T10:37:16.283Z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