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Ahlibank Q.P.S.C.</w:t>
      </w:r>
    </w:p>
    <w:p>
      <w:pPr>
        <w:spacing w:after="12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Credit Appraisal Memorandum</w:t>
      </w:r>
    </w:p>
    <w:p>
      <w:pPr>
        <w:spacing w:after="240"/>
        <w:jc w:val="center"/>
      </w:pPr>
      <w:r>
        <w:rPr>
          <w:rFonts w:ascii="Arial" w:cs="Arial" w:eastAsia="Arial" w:hAnsi="Arial"/>
          <w:sz w:val="22"/>
          <w:szCs w:val="22"/>
        </w:rPr>
        <w:t xml:space="preserve">Corporate Banking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Date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26 Aug 2026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Ref No.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CAM-0002/2026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Client Name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Al Noor Trading W.L.L. (Demo)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Risk Rating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R05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Account Number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0012-3456-789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Related to Group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Al Noor Group (Demo)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Purpose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Renewal and enhancement of working-capital facilities to support growth in building-materials trading.</w:t>
            </w:r>
          </w:p>
        </w:tc>
      </w:tr>
    </w:tbl>
    <w:p>
      <w:r>
        <w:br w:type="page"/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Tracking Sheet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Borrower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Al Noor Trading W.L.L. (Demo)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Account Number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0012-3456-789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Unit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Out-Date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Action / Signature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Relationship Manager (Business Unit)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Sara Al-Kuwari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12 Aug 2026 17:44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submit → CAM Preparation — Pack complete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Business Unit analyst (Preparer)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Sara Al-Kuwari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16 Aug 2026 17:44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submit → Business Sign-off — Draft CAM ready for sign-off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BU management (Recommender → Concurrer)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Khalid Al-Mansoori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19 Aug 2026 17:44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pass → Credit Admin Control — Recommended for approval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Corporate Credit Administration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Fatima Hassan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23 Aug 2026 17:44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pass → Independent Risk Review — Limits verified; documentation complete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Approval: Level 1</w:t>
      </w:r>
    </w:p>
    <w:p>
      <w:r>
        <w:br w:type="page"/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Approval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Borrower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Al Noor Trading W.L.L. (Demo)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Account Number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0012-3456-789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Risk Rating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R05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Purpose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Renewal and enhancement of working-capital facilities (overdraft and trade finance) to support growth in building-materials trading.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gridSpan w:val="2"/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Level 2 — Recommenders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gridSpan w:val="2"/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Level 1 — Approvers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Committee member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Designation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Approved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Declined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Comment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Facility Limit Summary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Group Name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Al Noor Group (Demo)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Relationship Manager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Sara Al-Kuwari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Department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Corporate Banking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Submitted by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CB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ROCE %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Limit % of Capital Base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0.55%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Borrower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Account No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RR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Domicile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Industry / Sector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Co. Type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Al Noor Trading W.L.L. (Demo)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0012-3456-789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R05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Qatar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Trading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i/>
          <w:iCs/>
          <w:color w:val="595959"/>
          <w:sz w:val="16"/>
          <w:szCs w:val="16"/>
        </w:rPr>
        <w:t xml:space="preserve">Figures in QAR 000's — USD converted at parity 3.65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Facility type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Existing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Proposed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Change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O/s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Pricing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Collateral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Overdraft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25,550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29,200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3,650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21,900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3M QIBOR + 3.0%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Mortgage over warehouse; personal guarantees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Letter of Credit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10,950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14,600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3,650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7,300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0.25% per quarter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Cash margin 10%</w:t>
            </w:r>
          </w:p>
        </w:tc>
      </w:tr>
      <w:tr>
        <w:tc>
          <w:tcPr>
            <w:gridSpan w:val="3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SUB-TOTAL</w:t>
            </w:r>
          </w:p>
        </w:tc>
        <w:tc>
          <w:tcPr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43,800</w:t>
            </w:r>
          </w:p>
        </w:tc>
        <w:tc>
          <w:tcPr>
            <w:gridSpan w:val="2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Limit expiry: —</w:t>
            </w:r>
          </w:p>
        </w:tc>
        <w:tc>
          <w:tcPr>
            <w:gridSpan w:val="2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Large Exposure: N   Related Director: N</w:t>
            </w:r>
          </w:p>
        </w:tc>
      </w:tr>
      <w:tr>
        <w:tc>
          <w:tcPr>
            <w:gridSpan w:val="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RELATED EXPOSURE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NIL</w:t>
            </w:r>
          </w:p>
        </w:tc>
        <w:tc>
          <w:tcPr>
            <w:gridSpan w:val="4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gridSpan w:val="3"/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GRAND TOTAL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43,800</w:t>
            </w:r>
          </w:p>
        </w:tc>
        <w:tc>
          <w:tcPr>
            <w:gridSpan w:val="4"/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Business Unit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Prepared by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Sara Al-Kuwari</w:t>
            </w:r>
          </w:p>
          <w:p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Relationship Manager</w:t>
            </w:r>
          </w:p>
          <w:p>
            <w:r>
              <w:rPr>
                <w:rFonts w:ascii="Arial" w:cs="Arial" w:eastAsia="Arial" w:hAnsi="Arial"/>
                <w:i/>
                <w:iCs/>
                <w:color w:val="595959"/>
                <w:sz w:val="14"/>
                <w:szCs w:val="14"/>
              </w:rPr>
              <w:t xml:space="preserve">e-signed 26 Aug 2026 17:44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Recommended by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Khalid Al-Mansoori</w:t>
            </w:r>
          </w:p>
          <w:p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Head of Private Banking</w:t>
            </w:r>
          </w:p>
          <w:p>
            <w:r>
              <w:rPr>
                <w:rFonts w:ascii="Arial" w:cs="Arial" w:eastAsia="Arial" w:hAnsi="Arial"/>
                <w:i/>
                <w:iCs/>
                <w:color w:val="595959"/>
                <w:sz w:val="14"/>
                <w:szCs w:val="14"/>
              </w:rPr>
              <w:t xml:space="preserve">e-signed 26 Aug 2026 17:44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Concurred by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Khalid Al-Mansoori</w:t>
            </w:r>
          </w:p>
          <w:p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Head of Corporate Banking</w:t>
            </w:r>
          </w:p>
          <w:p>
            <w:r>
              <w:rPr>
                <w:rFonts w:ascii="Arial" w:cs="Arial" w:eastAsia="Arial" w:hAnsi="Arial"/>
                <w:i/>
                <w:iCs/>
                <w:color w:val="595959"/>
                <w:sz w:val="14"/>
                <w:szCs w:val="14"/>
              </w:rPr>
              <w:t xml:space="preserve">e-signed 26 Aug 2026 17:44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Risk Management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Reviewed by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Fatima Hassan</w:t>
            </w:r>
          </w:p>
          <w:p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Senior Credit Administrator</w:t>
            </w:r>
          </w:p>
          <w:p>
            <w:r>
              <w:rPr>
                <w:rFonts w:ascii="Arial" w:cs="Arial" w:eastAsia="Arial" w:hAnsi="Arial"/>
                <w:i/>
                <w:iCs/>
                <w:color w:val="595959"/>
                <w:sz w:val="14"/>
                <w:szCs w:val="14"/>
              </w:rPr>
              <w:t xml:space="preserve">e-signed 26 Aug 2026 18:25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Concurred by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  <w:p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/>
            </w:r>
          </w:p>
          <w:p>
            <w:r>
              <w:rPr>
                <w:rFonts w:ascii="Arial" w:cs="Arial" w:eastAsia="Arial" w:hAnsi="Arial"/>
                <w:i/>
                <w:iCs/>
                <w:color w:val="595959"/>
                <w:sz w:val="14"/>
                <w:szCs w:val="14"/>
              </w:rPr>
              <w:t xml:space="preserve"/>
            </w:r>
          </w:p>
        </w:tc>
      </w:tr>
      <w:tr>
        <w:tc>
          <w:tcPr>
            <w:gridSpan w:val="2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Condition(s) for Approval:</w:t>
            </w:r>
          </w:p>
        </w:tc>
      </w:tr>
    </w:tbl>
    <w:p>
      <w:r>
        <w:br w:type="page"/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I. Nature of Request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The Business Unit requests renewal and enhancement of the working-capital facilities of Al Noor Trading W.L.L. (Demo) from QAR 36.5 MM to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QAR 43.8 MM</w:t>
      </w:r>
      <w:r>
        <w:rPr>
          <w:rFonts w:ascii="Arial" w:cs="Arial" w:eastAsia="Arial" w:hAnsi="Arial"/>
          <w:sz w:val="20"/>
          <w:szCs w:val="20"/>
        </w:rPr>
        <w:t xml:space="preserve"> (USD 12.0 MM equivalent at parity 3.65), comprising an overdraft of QAR 29.2 MM priced at 3M QIBOR + 3.0% p.a. and a letter-of-credit line of QAR 14.6 MM. The facilities are secured by a first-ranking mortgage over the company's warehouse (valued USD 19.2 MM, 2025) and personal guarantees of the shareholders.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Brief Details of Borrower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Brief Details of Guarantor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Overview of the Transaction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Modus Operandi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II. Terms Sheet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Facility Type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Overdraft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Facility Amount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USD 12.0 MM (QAR 43,800K)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Purpose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Renewal and enhancement of working-capital facilities (overdraft and trade finance) to support growth in building-materials trading.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Interest Rate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3M QIBOR + 3.00% p.a.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Management Fee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Commitment Fee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0.25% p.a. on the undisbursed balance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Prepayment Fee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Nil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Tenor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 years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Disbursement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Repayment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Security / Support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Mortgage over the warehouse and yard located in the Industrial Area, with a reported value of USD 19,200K as at 15 November 2025 (Source: application form).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Personal guarantees are provided as support for the overdraft facilities; the guarantors, guarantee amounts and enforceability details are not specified (Source: application form). [Analyst to confirm: guarantor identities, net worth and guarantee coverage].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Letters of credit are supported by a 10% cash margin (Source: application form).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The proposed security coverage is stated at 160%, with an LTV cap of 60% (Source: application form).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No top-up trigger or liquidation trigger has been specified. [Analyst to confirm: valuation monitoring frequency, top-up mechanism, liquidation trigger and required cure period].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[Analyst to confirm: mortgage ranking, registration status, existing encumbrances and whether the stated collateral value supports the proposed exposure after applying the Bank’s approved valuation and haircut methodology].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Conditions Precedent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Performance Monitoring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Terms &amp; Conditions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Covenants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Governing Law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Qatari Law</w:t>
            </w:r>
          </w:p>
        </w:tc>
      </w:tr>
    </w:tbl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III. Borrower Background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Al Noor Trading W.L.L. (Demo) was established 18 years ago and distributes building materials to contractors across Qatar. The company is owned by two Qatari shareholders (51% / 49%) and managed by a General Manager with 25 years of sector experience.</w:t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Shareholding Structure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Shareholder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% Holding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Nationality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Demo Shareholder A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51%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Qatari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Demo Shareholder B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49%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Qatari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Management Details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Nationality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Position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Demo General Manager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Qatari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General Manager</w:t>
            </w:r>
          </w:p>
        </w:tc>
      </w:tr>
      <w:tr>
        <w:tc>
          <w:tcPr>
            <w:gridSpan w:val="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Profile: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25 years in building-materials distribution across the GCC.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IV. Industry Analysis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V. Financial Analysis</w:t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Snapshot of Financial Performance — Al Noor Trading W.L.L. (Demo)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Company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Al Noor Trading W.L.L. (Demo)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Type of Accounts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audited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Currency / Unit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USD 000s</w:t>
            </w:r>
          </w:p>
        </w:tc>
      </w:tr>
    </w:tbl>
    <w:p>
      <w:pPr>
        <w:spacing w:after="4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Line item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FY2023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FY2024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FY2025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Revenue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38,400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42,100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46,900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Cost of sales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-30,100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-32,800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-36,600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Gross profit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8,300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9,300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10,300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Operating expenses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-5,200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-5,700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-6,300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EBITDA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3,600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4,100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4,600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Depreciation &amp; amortisation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-500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-500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-600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Finance cost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-900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-1,050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-1,200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Net profit / (loss)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2,200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2,550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2,800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Total assets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31,000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34,500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38,900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Current assets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22,000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24,800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28,100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Cash &amp; bank balances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2,100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2,400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2,900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Receivables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11,500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13,200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15,100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Inventory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8,400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9,200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10,100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Total liabilities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18,200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19,800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21,600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Current liabilities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15,900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17,300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18,900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Total debt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12,100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13,000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14,200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Net worth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12,800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14,700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17,300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Tangible net worth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12,500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14,400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17,000</w:t>
            </w:r>
          </w:p>
        </w:tc>
      </w:tr>
    </w:tbl>
    <w:p>
      <w:pPr>
        <w:spacing w:after="4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Ratio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Value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Assessment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Debt service coverage (DSCR) (FY2025)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3.83x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GOOD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Interest coverage (EBITDA / interest) (FY2025)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3.83x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GOOD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Leverage (total liabilities / tangible net worth) (FY2025)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1.27x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GOOD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Current ratio (FY2025)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1.49x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ACCEPTABLE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Revenue trend (latest year) (FY2025)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11.4%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GOOD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Profitability (net margin) (FY2025)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6.0%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GOOD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Security coverage (collateral / exposure)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160%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ACCEPTABLE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LTV on pledged securities / fund units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63%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ACCEPTABLE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Revenue grew 11.4% in FY2025 to USD 46.9 MM on higher infrastructure activity (Source: application form).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EBITDA margin improved to 9.8%; net profit of USD 2.8 MM.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Leverage (total liabilities / TNW) improved to 1.27x; current ratio 1.49x.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Receivable days remain elevated at ~117 days, reflecting contractor payment cycles.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VI. Account Conduct &amp; Profitability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New relationship — not applicable.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VII. QCB and Credit Bureau Reports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VIII. Sources of Repayment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Primary:</w:t>
      </w:r>
      <w:r>
        <w:rPr>
          <w:rFonts w:ascii="Arial" w:cs="Arial" w:eastAsia="Arial" w:hAnsi="Arial"/>
          <w:sz w:val="20"/>
          <w:szCs w:val="20"/>
        </w:rPr>
        <w:t xml:space="preserve"> operating cash flows from trading activity (EBITDA USD 4.6 MM).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Secondary:</w:t>
      </w:r>
      <w:r>
        <w:rPr>
          <w:rFonts w:ascii="Arial" w:cs="Arial" w:eastAsia="Arial" w:hAnsi="Arial"/>
          <w:sz w:val="20"/>
          <w:szCs w:val="20"/>
        </w:rPr>
        <w:t xml:space="preserve"> realisation of mortgaged warehouse (coverage 160%) and personal guarantees.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IX. Risk Rating</w:t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Proposed rating: R05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Established 18-year trading track record with consistent profitability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Leverage within acceptable range; adequate interest coverage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Concentration in construction sector partially mitigated by diversified customer base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/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X. Risks &amp; Mitigants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Risk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Description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Mitigant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Lower fund returns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Distributions from the underlying investments may fall short of expectations.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Diversified pool of funds; guarantor support; DSRA covering interest.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Security risk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Collateral value may fall below required coverage.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LTV maintenance with top-up and liquidation triggers; monthly NAV reporting.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Interest rate risk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Rising benchmark rates increase debt service.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Max all-in rate cap; interest serviced from distributions and guarantor.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XI. Recommendation</w:t>
      </w:r>
    </w:p>
    <w:p>
      <w:pPr>
        <w:spacing w:after="60"/>
        <w:ind w:left="360" w:hanging="360"/>
      </w:pPr>
      <w:r>
        <w:rPr>
          <w:rFonts w:ascii="Arial" w:cs="Arial" w:eastAsia="Arial" w:hAnsi="Arial"/>
          <w:sz w:val="20"/>
          <w:szCs w:val="20"/>
        </w:rPr>
        <w:t xml:space="preserve">1. </w:t>
      </w:r>
      <w:r>
        <w:rPr>
          <w:rFonts w:ascii="Arial" w:cs="Arial" w:eastAsia="Arial" w:hAnsi="Arial"/>
          <w:sz w:val="20"/>
          <w:szCs w:val="20"/>
        </w:rPr>
        <w:t xml:space="preserve">Long-standing relationship with satisfactory conduct.</w:t>
      </w:r>
    </w:p>
    <w:p>
      <w:pPr>
        <w:spacing w:after="60"/>
        <w:ind w:left="360" w:hanging="360"/>
      </w:pPr>
      <w:r>
        <w:rPr>
          <w:rFonts w:ascii="Arial" w:cs="Arial" w:eastAsia="Arial" w:hAnsi="Arial"/>
          <w:sz w:val="20"/>
          <w:szCs w:val="20"/>
        </w:rPr>
        <w:t xml:space="preserve">2. </w:t>
      </w:r>
      <w:r>
        <w:rPr>
          <w:rFonts w:ascii="Arial" w:cs="Arial" w:eastAsia="Arial" w:hAnsi="Arial"/>
          <w:sz w:val="20"/>
          <w:szCs w:val="20"/>
        </w:rPr>
        <w:t xml:space="preserve">Consistent profitability and improving leverage.</w:t>
      </w:r>
    </w:p>
    <w:p>
      <w:pPr>
        <w:spacing w:after="60"/>
        <w:ind w:left="360" w:hanging="360"/>
      </w:pPr>
      <w:r>
        <w:rPr>
          <w:rFonts w:ascii="Arial" w:cs="Arial" w:eastAsia="Arial" w:hAnsi="Arial"/>
          <w:sz w:val="20"/>
          <w:szCs w:val="20"/>
        </w:rPr>
        <w:t xml:space="preserve">3. </w:t>
      </w:r>
      <w:r>
        <w:rPr>
          <w:rFonts w:ascii="Arial" w:cs="Arial" w:eastAsia="Arial" w:hAnsi="Arial"/>
          <w:sz w:val="20"/>
          <w:szCs w:val="20"/>
        </w:rPr>
        <w:t xml:space="preserve">Adequate tangible security coverage.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The Business Unit recommends the renewal and enhancement of facilities for the committee's consideration.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XII. Appendix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Attachment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Category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Pages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Uploaded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16"/>
          <w:szCs w:val="16"/>
        </w:rPr>
        <w:t xml:space="preserve">Generated by the CAM Portal on 26 Aug 2026 20:37 — stage 5: Independent Risk Review.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rFonts w:ascii="Arial" w:cs="Arial" w:eastAsia="Arial" w:hAnsi="Arial"/>
        <w:color w:val="808080"/>
        <w:sz w:val="16"/>
        <w:szCs w:val="16"/>
      </w:rPr>
      <w:t xml:space="preserve">CONFIDENTIAL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120"/>
      <w:jc w:val="right"/>
    </w:pPr>
    <w:r>
      <w:rPr>
        <w:rFonts w:ascii="Arial" w:cs="Arial" w:eastAsia="Arial" w:hAnsi="Arial"/>
        <w:color w:val="808080"/>
        <w:sz w:val="16"/>
        <w:szCs w:val="16"/>
      </w:rPr>
      <w:t xml:space="preserve">Ahlibank Q.P.S.C. — Credit Appraisal Memorandum — CAM-0002/2026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 CAM-0002/2026</dc:title>
  <dc:creator>CAM Portal</dc:creator>
  <cp:lastModifiedBy>Un-named</cp:lastModifiedBy>
  <cp:revision>1</cp:revision>
  <dcterms:created xsi:type="dcterms:W3CDTF">2026-08-26T10:37:50.332Z</dcterms:created>
  <dcterms:modified xsi:type="dcterms:W3CDTF">2026-08-26T10:37:50.332Z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