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rFonts w:ascii="Arial" w:cs="Arial" w:eastAsia="Arial" w:hAnsi="Arial"/>
          <w:b/>
          <w:bCs/>
          <w:color w:val="1F3864"/>
          <w:sz w:val="28"/>
          <w:szCs w:val="28"/>
        </w:rPr>
        <w:t xml:space="preserve">Ahlibank Q.P.S.C.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Credit Appraisal Memorandum</w:t>
      </w:r>
    </w:p>
    <w:p>
      <w:pPr>
        <w:spacing w:after="240"/>
        <w:jc w:val="center"/>
      </w:pPr>
      <w:r>
        <w:rPr>
          <w:rFonts w:ascii="Arial" w:cs="Arial" w:eastAsia="Arial" w:hAnsi="Arial"/>
          <w:sz w:val="22"/>
          <w:szCs w:val="22"/>
        </w:rPr>
        <w:t xml:space="preserve">Corporate Banking</w:t>
      </w:r>
    </w:p>
    <w:tbl>
      <w:tblPr>
        <w:tblW w:type="pct" w:w="100%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BFBFBF" w:sz="4"/>
          <w:insideV w:val="single" w:color="BFBFBF" w:sz="4"/>
        </w:tblBorders>
      </w:tblPr>
      <w:tblGrid>
        <w:gridCol w:w="100"/>
        <w:gridCol w:w="100"/>
      </w:tblGrid>
      <w:tr>
        <w:tc>
          <w:tcPr>
            <w:tcW w:type="pct" w:w="30%"/>
            <w:shd w:fill="F2F2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Date</w:t>
            </w:r>
          </w:p>
        </w:tc>
        <w:tc>
          <w:tcPr>
            <w:tcW w:type="pct" w:w="70%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26 Aug 2026</w:t>
            </w:r>
          </w:p>
        </w:tc>
      </w:tr>
      <w:tr>
        <w:tc>
          <w:tcPr>
            <w:tcW w:type="pct" w:w="30%"/>
            <w:shd w:fill="F2F2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Ref No.</w:t>
            </w:r>
          </w:p>
        </w:tc>
        <w:tc>
          <w:tcPr>
            <w:tcW w:type="pct" w:w="70%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CAM-0002/2026</w:t>
            </w:r>
          </w:p>
        </w:tc>
      </w:tr>
      <w:tr>
        <w:tc>
          <w:tcPr>
            <w:tcW w:type="pct" w:w="30%"/>
            <w:shd w:fill="F2F2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Client Name</w:t>
            </w:r>
          </w:p>
        </w:tc>
        <w:tc>
          <w:tcPr>
            <w:tcW w:type="pct" w:w="70%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Al Noor Trading W.L.L. (Demo)</w:t>
            </w:r>
          </w:p>
        </w:tc>
      </w:tr>
      <w:tr>
        <w:tc>
          <w:tcPr>
            <w:tcW w:type="pct" w:w="30%"/>
            <w:shd w:fill="F2F2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Risk Rating</w:t>
            </w:r>
          </w:p>
        </w:tc>
        <w:tc>
          <w:tcPr>
            <w:tcW w:type="pct" w:w="70%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R05</w:t>
            </w:r>
          </w:p>
        </w:tc>
      </w:tr>
      <w:tr>
        <w:tc>
          <w:tcPr>
            <w:tcW w:type="pct" w:w="30%"/>
            <w:shd w:fill="F2F2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Account Number</w:t>
            </w:r>
          </w:p>
        </w:tc>
        <w:tc>
          <w:tcPr>
            <w:tcW w:type="pct" w:w="70%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0012-3456-789</w:t>
            </w:r>
          </w:p>
        </w:tc>
      </w:tr>
      <w:tr>
        <w:tc>
          <w:tcPr>
            <w:tcW w:type="pct" w:w="30%"/>
            <w:shd w:fill="F2F2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Related to Group</w:t>
            </w:r>
          </w:p>
        </w:tc>
        <w:tc>
          <w:tcPr>
            <w:tcW w:type="pct" w:w="70%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Al Noor Group (Demo)</w:t>
            </w:r>
          </w:p>
        </w:tc>
      </w:tr>
      <w:tr>
        <w:tc>
          <w:tcPr>
            <w:tcW w:type="pct" w:w="30%"/>
            <w:shd w:fill="F2F2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Purpose</w:t>
            </w:r>
          </w:p>
        </w:tc>
        <w:tc>
          <w:tcPr>
            <w:tcW w:type="pct" w:w="70%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120"/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Renewal and enhancement of working-capital facilities to support growth in building-materials trading.</w:t>
            </w:r>
          </w:p>
        </w:tc>
      </w:tr>
    </w:tbl>
    <w:p>
      <w:r>
        <w:br w:type="page"/>
      </w:r>
    </w:p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F3864"/>
          <w:sz w:val="26"/>
          <w:szCs w:val="26"/>
        </w:rPr>
        <w:t xml:space="preserve">Tracking Sheet</w:t>
      </w:r>
    </w:p>
    <w:tbl>
      <w:tblPr>
        <w:tblW w:type="pct" w:w="100%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BFBFBF" w:sz="4"/>
          <w:insideV w:val="single" w:color="BFBFBF" w:sz="4"/>
        </w:tblBorders>
      </w:tblPr>
      <w:tblGrid>
        <w:gridCol w:w="100"/>
        <w:gridCol w:w="100"/>
      </w:tblGrid>
      <w:tr>
        <w:tc>
          <w:tcPr>
            <w:tcW w:type="pct" w:w="30%"/>
            <w:shd w:fill="F2F2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Borrower</w:t>
            </w:r>
          </w:p>
        </w:tc>
        <w:tc>
          <w:tcPr>
            <w:tcW w:type="pct" w:w="70%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Al Noor Trading W.L.L. (Demo)</w:t>
            </w:r>
          </w:p>
        </w:tc>
      </w:tr>
      <w:tr>
        <w:tc>
          <w:tcPr>
            <w:tcW w:type="pct" w:w="30%"/>
            <w:shd w:fill="F2F2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Account Number</w:t>
            </w:r>
          </w:p>
        </w:tc>
        <w:tc>
          <w:tcPr>
            <w:tcW w:type="pct" w:w="70%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0012-3456-789</w:t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pct" w:w="100%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BFBFBF" w:sz="4"/>
          <w:insideV w:val="single" w:color="BFBFBF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Unit</w:t>
            </w:r>
          </w:p>
        </w:tc>
        <w:tc>
          <w:tcPr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Name</w:t>
            </w:r>
          </w:p>
        </w:tc>
        <w:tc>
          <w:tcPr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Out-Date</w:t>
            </w:r>
          </w:p>
        </w:tc>
        <w:tc>
          <w:tcPr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Action / Signature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Relationship Manager (Business Unit)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Person 1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12 Aug 2026 10:44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submit → CAM Preparation — Pack complete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Business Unit analyst (Preparer)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Person 1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16 Aug 2026 10:44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submit → Business Sign-off — Draft CAM ready for sign-off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BU management (Recommender → Concurrer)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Person 2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19 Aug 2026 10:44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pass → Credit Admin Control — Recommended for approval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Corporate Credit Administration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Person 3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23 Aug 2026 10:44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pass → Independent Risk Review — Limits verified; documentation complete</w:t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Approval: Level 1</w:t>
      </w:r>
    </w:p>
    <w:p>
      <w:r>
        <w:br w:type="page"/>
      </w:r>
    </w:p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F3864"/>
          <w:sz w:val="26"/>
          <w:szCs w:val="26"/>
        </w:rPr>
        <w:t xml:space="preserve">Approval</w:t>
      </w:r>
    </w:p>
    <w:tbl>
      <w:tblPr>
        <w:tblW w:type="pct" w:w="100%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BFBFBF" w:sz="4"/>
          <w:insideV w:val="single" w:color="BFBFBF" w:sz="4"/>
        </w:tblBorders>
      </w:tblPr>
      <w:tblGrid>
        <w:gridCol w:w="100"/>
        <w:gridCol w:w="100"/>
      </w:tblGrid>
      <w:tr>
        <w:tc>
          <w:tcPr>
            <w:tcW w:type="pct" w:w="30%"/>
            <w:shd w:fill="F2F2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Borrower</w:t>
            </w:r>
          </w:p>
        </w:tc>
        <w:tc>
          <w:tcPr>
            <w:tcW w:type="pct" w:w="70%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Al Noor Trading W.L.L. (Demo)</w:t>
            </w:r>
          </w:p>
        </w:tc>
      </w:tr>
      <w:tr>
        <w:tc>
          <w:tcPr>
            <w:tcW w:type="pct" w:w="30%"/>
            <w:shd w:fill="F2F2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Account Number</w:t>
            </w:r>
          </w:p>
        </w:tc>
        <w:tc>
          <w:tcPr>
            <w:tcW w:type="pct" w:w="70%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0012-3456-789</w:t>
            </w:r>
          </w:p>
        </w:tc>
      </w:tr>
      <w:tr>
        <w:tc>
          <w:tcPr>
            <w:tcW w:type="pct" w:w="30%"/>
            <w:shd w:fill="F2F2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Risk Rating</w:t>
            </w:r>
          </w:p>
        </w:tc>
        <w:tc>
          <w:tcPr>
            <w:tcW w:type="pct" w:w="70%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R05</w:t>
            </w:r>
          </w:p>
        </w:tc>
      </w:tr>
      <w:tr>
        <w:tc>
          <w:tcPr>
            <w:tcW w:type="pct" w:w="30%"/>
            <w:shd w:fill="F2F2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Purpose</w:t>
            </w:r>
          </w:p>
        </w:tc>
        <w:tc>
          <w:tcPr>
            <w:tcW w:type="pct" w:w="70%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Renewal and enhancement of working-capital facilities (overdraft and trade finance) to support growth in building-materials trading.</w:t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pct" w:w="100%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BFBFBF" w:sz="4"/>
          <w:insideV w:val="single" w:color="BFBFBF" w:sz="4"/>
        </w:tblBorders>
      </w:tblPr>
      <w:tblGrid>
        <w:gridCol w:w="100"/>
        <w:gridCol w:w="100"/>
      </w:tblGrid>
      <w:tr>
        <w:tc>
          <w:tcPr>
            <w:gridSpan w:val="2"/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Level 2 — Recommenders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gridSpan w:val="2"/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Level 1 — Approvers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pct" w:w="100%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BFBFBF" w:sz="4"/>
          <w:insideV w:val="single" w:color="BFBFBF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Committee member</w:t>
            </w:r>
          </w:p>
        </w:tc>
        <w:tc>
          <w:tcPr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Designation</w:t>
            </w:r>
          </w:p>
        </w:tc>
        <w:tc>
          <w:tcPr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Approved</w:t>
            </w:r>
          </w:p>
        </w:tc>
        <w:tc>
          <w:tcPr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Declined</w:t>
            </w:r>
          </w:p>
        </w:tc>
        <w:tc>
          <w:tcPr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Comment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r>
        <w:br w:type="page"/>
      </w:r>
    </w:p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F3864"/>
          <w:sz w:val="26"/>
          <w:szCs w:val="26"/>
        </w:rPr>
        <w:t xml:space="preserve">Facility Limit Summary</w:t>
      </w:r>
    </w:p>
    <w:tbl>
      <w:tblPr>
        <w:tblW w:type="pct" w:w="100%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BFBFBF" w:sz="4"/>
          <w:insideV w:val="single" w:color="BFBFBF" w:sz="4"/>
        </w:tblBorders>
      </w:tblPr>
      <w:tblGrid>
        <w:gridCol w:w="100"/>
        <w:gridCol w:w="100"/>
      </w:tblGrid>
      <w:tr>
        <w:tc>
          <w:tcPr>
            <w:tcW w:type="pct" w:w="30%"/>
            <w:shd w:fill="F2F2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Group Name</w:t>
            </w:r>
          </w:p>
        </w:tc>
        <w:tc>
          <w:tcPr>
            <w:tcW w:type="pct" w:w="70%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Al Noor Group (Demo)</w:t>
            </w:r>
          </w:p>
        </w:tc>
      </w:tr>
      <w:tr>
        <w:tc>
          <w:tcPr>
            <w:tcW w:type="pct" w:w="30%"/>
            <w:shd w:fill="F2F2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Relationship Manager</w:t>
            </w:r>
          </w:p>
        </w:tc>
        <w:tc>
          <w:tcPr>
            <w:tcW w:type="pct" w:w="70%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Person 1</w:t>
            </w:r>
          </w:p>
        </w:tc>
      </w:tr>
      <w:tr>
        <w:tc>
          <w:tcPr>
            <w:tcW w:type="pct" w:w="30%"/>
            <w:shd w:fill="F2F2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Department</w:t>
            </w:r>
          </w:p>
        </w:tc>
        <w:tc>
          <w:tcPr>
            <w:tcW w:type="pct" w:w="70%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Corporate Banking</w:t>
            </w:r>
          </w:p>
        </w:tc>
      </w:tr>
      <w:tr>
        <w:tc>
          <w:tcPr>
            <w:tcW w:type="pct" w:w="30%"/>
            <w:shd w:fill="F2F2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Submitted by</w:t>
            </w:r>
          </w:p>
        </w:tc>
        <w:tc>
          <w:tcPr>
            <w:tcW w:type="pct" w:w="70%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CB</w:t>
            </w:r>
          </w:p>
        </w:tc>
      </w:tr>
      <w:tr>
        <w:tc>
          <w:tcPr>
            <w:tcW w:type="pct" w:w="30%"/>
            <w:shd w:fill="F2F2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ROCE %</w:t>
            </w:r>
          </w:p>
        </w:tc>
        <w:tc>
          <w:tcPr>
            <w:tcW w:type="pct" w:w="70%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—</w:t>
            </w:r>
          </w:p>
        </w:tc>
      </w:tr>
      <w:tr>
        <w:tc>
          <w:tcPr>
            <w:tcW w:type="pct" w:w="30%"/>
            <w:shd w:fill="F2F2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Limit % of Capital Base</w:t>
            </w:r>
          </w:p>
        </w:tc>
        <w:tc>
          <w:tcPr>
            <w:tcW w:type="pct" w:w="70%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0.55%</w:t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pct" w:w="100%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BFBFBF" w:sz="4"/>
          <w:insideV w:val="single" w:color="BFBFBF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#</w:t>
            </w:r>
          </w:p>
        </w:tc>
        <w:tc>
          <w:tcPr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Borrower</w:t>
            </w:r>
          </w:p>
        </w:tc>
        <w:tc>
          <w:tcPr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Account No</w:t>
            </w:r>
          </w:p>
        </w:tc>
        <w:tc>
          <w:tcPr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RR</w:t>
            </w:r>
          </w:p>
        </w:tc>
        <w:tc>
          <w:tcPr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Domicile</w:t>
            </w:r>
          </w:p>
        </w:tc>
        <w:tc>
          <w:tcPr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Industry / Sector</w:t>
            </w:r>
          </w:p>
        </w:tc>
        <w:tc>
          <w:tcPr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Co. Type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Al Noor Trading W.L.L. (Demo)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0012-3456-789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R05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Qatar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Trading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P</w:t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i/>
          <w:iCs/>
          <w:color w:val="595959"/>
          <w:sz w:val="16"/>
          <w:szCs w:val="16"/>
        </w:rPr>
        <w:t xml:space="preserve">Figures in QAR 000's — USD converted at parity 3.65</w:t>
      </w:r>
    </w:p>
    <w:tbl>
      <w:tblPr>
        <w:tblW w:type="pct" w:w="100%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BFBFBF" w:sz="4"/>
          <w:insideV w:val="single" w:color="BFBFBF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#</w:t>
            </w:r>
          </w:p>
        </w:tc>
        <w:tc>
          <w:tcPr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Facility type</w:t>
            </w:r>
          </w:p>
        </w:tc>
        <w:tc>
          <w:tcPr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Existing</w:t>
            </w:r>
          </w:p>
        </w:tc>
        <w:tc>
          <w:tcPr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Proposed</w:t>
            </w:r>
          </w:p>
        </w:tc>
        <w:tc>
          <w:tcPr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Change</w:t>
            </w:r>
          </w:p>
        </w:tc>
        <w:tc>
          <w:tcPr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O/s</w:t>
            </w:r>
          </w:p>
        </w:tc>
        <w:tc>
          <w:tcPr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Pricing</w:t>
            </w:r>
          </w:p>
        </w:tc>
        <w:tc>
          <w:tcPr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Collateral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1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Overdraft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25,550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29,200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3,650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21,900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3M QIBOR + 3.0%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Mortgage over warehouse; personal guarantees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2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Letter of Credit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10,950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14,600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3,650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7,300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0.25% per quarter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Cash margin 10%</w:t>
            </w:r>
          </w:p>
        </w:tc>
      </w:tr>
      <w:tr>
        <w:tc>
          <w:tcPr>
            <w:gridSpan w:val="3"/>
            <w:shd w:fill="F2F2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SUB-TOTAL</w:t>
            </w:r>
          </w:p>
        </w:tc>
        <w:tc>
          <w:tcPr>
            <w:shd w:fill="F2F2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43,800</w:t>
            </w:r>
          </w:p>
        </w:tc>
        <w:tc>
          <w:tcPr>
            <w:gridSpan w:val="2"/>
            <w:shd w:fill="F2F2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Limit expiry: —</w:t>
            </w:r>
          </w:p>
        </w:tc>
        <w:tc>
          <w:tcPr>
            <w:gridSpan w:val="2"/>
            <w:shd w:fill="F2F2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Large Exposure: N   Related Director: N</w:t>
            </w:r>
          </w:p>
        </w:tc>
      </w:tr>
      <w:tr>
        <w:tc>
          <w:tcPr>
            <w:gridSpan w:val="3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RELATED EXPOSURE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NIL</w:t>
            </w:r>
          </w:p>
        </w:tc>
        <w:tc>
          <w:tcPr>
            <w:gridSpan w:val="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gridSpan w:val="3"/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GRAND TOTAL</w:t>
            </w:r>
          </w:p>
        </w:tc>
        <w:tc>
          <w:tcPr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43,800</w:t>
            </w:r>
          </w:p>
        </w:tc>
        <w:tc>
          <w:tcPr>
            <w:gridSpan w:val="4"/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Business Unit</w:t>
      </w:r>
    </w:p>
    <w:tbl>
      <w:tblPr>
        <w:tblW w:type="pct" w:w="100%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BFBFBF" w:sz="4"/>
          <w:insideV w:val="single" w:color="BFBFBF" w:sz="4"/>
        </w:tblBorders>
      </w:tblPr>
      <w:tblGrid>
        <w:gridCol w:w="100"/>
        <w:gridCol w:w="100"/>
        <w:gridCol w:w="100"/>
      </w:tblGrid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Prepared by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Person 1</w:t>
            </w:r>
          </w:p>
          <w:p>
            <w:r>
              <w:rPr>
                <w:rFonts w:ascii="Arial" w:cs="Arial" w:eastAsia="Arial" w:hAnsi="Arial"/>
                <w:color w:val="595959"/>
                <w:sz w:val="16"/>
                <w:szCs w:val="16"/>
              </w:rPr>
              <w:t xml:space="preserve">Relationship Manager</w:t>
            </w:r>
          </w:p>
          <w:p>
            <w:r>
              <w:rPr>
                <w:rFonts w:ascii="Arial" w:cs="Arial" w:eastAsia="Arial" w:hAnsi="Arial"/>
                <w:i/>
                <w:iCs/>
                <w:color w:val="595959"/>
                <w:sz w:val="14"/>
                <w:szCs w:val="14"/>
              </w:rPr>
              <w:t xml:space="preserve">e-signed 26 Aug 2026 10:44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Recommended by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Person 2</w:t>
            </w:r>
          </w:p>
          <w:p>
            <w:r>
              <w:rPr>
                <w:rFonts w:ascii="Arial" w:cs="Arial" w:eastAsia="Arial" w:hAnsi="Arial"/>
                <w:color w:val="595959"/>
                <w:sz w:val="16"/>
                <w:szCs w:val="16"/>
              </w:rPr>
              <w:t xml:space="preserve">Head of Private Banking</w:t>
            </w:r>
          </w:p>
          <w:p>
            <w:r>
              <w:rPr>
                <w:rFonts w:ascii="Arial" w:cs="Arial" w:eastAsia="Arial" w:hAnsi="Arial"/>
                <w:i/>
                <w:iCs/>
                <w:color w:val="595959"/>
                <w:sz w:val="14"/>
                <w:szCs w:val="14"/>
              </w:rPr>
              <w:t xml:space="preserve">e-signed 26 Aug 2026 10:44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Concurred by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Person 2</w:t>
            </w:r>
          </w:p>
          <w:p>
            <w:r>
              <w:rPr>
                <w:rFonts w:ascii="Arial" w:cs="Arial" w:eastAsia="Arial" w:hAnsi="Arial"/>
                <w:color w:val="595959"/>
                <w:sz w:val="16"/>
                <w:szCs w:val="16"/>
              </w:rPr>
              <w:t xml:space="preserve">Head of Corporate Banking</w:t>
            </w:r>
          </w:p>
          <w:p>
            <w:r>
              <w:rPr>
                <w:rFonts w:ascii="Arial" w:cs="Arial" w:eastAsia="Arial" w:hAnsi="Arial"/>
                <w:i/>
                <w:iCs/>
                <w:color w:val="595959"/>
                <w:sz w:val="14"/>
                <w:szCs w:val="14"/>
              </w:rPr>
              <w:t xml:space="preserve">e-signed 26 Aug 2026 10:44</w:t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Risk Management</w:t>
      </w:r>
    </w:p>
    <w:tbl>
      <w:tblPr>
        <w:tblW w:type="pct" w:w="100%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BFBFBF" w:sz="4"/>
          <w:insideV w:val="single" w:color="BFBFBF" w:sz="4"/>
        </w:tblBorders>
      </w:tblPr>
      <w:tblGrid>
        <w:gridCol w:w="100"/>
        <w:gridCol w:w="100"/>
      </w:tblGrid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Reviewed by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Person 3</w:t>
            </w:r>
          </w:p>
          <w:p>
            <w:r>
              <w:rPr>
                <w:rFonts w:ascii="Arial" w:cs="Arial" w:eastAsia="Arial" w:hAnsi="Arial"/>
                <w:color w:val="595959"/>
                <w:sz w:val="16"/>
                <w:szCs w:val="16"/>
              </w:rPr>
              <w:t xml:space="preserve">Senior Credit Administrator</w:t>
            </w:r>
          </w:p>
          <w:p>
            <w:r>
              <w:rPr>
                <w:rFonts w:ascii="Arial" w:cs="Arial" w:eastAsia="Arial" w:hAnsi="Arial"/>
                <w:i/>
                <w:iCs/>
                <w:color w:val="595959"/>
                <w:sz w:val="14"/>
                <w:szCs w:val="14"/>
              </w:rPr>
              <w:t xml:space="preserve">e-signed 26 Aug 2026 11:25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Concurred by</w:t>
            </w:r>
          </w:p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  <w:p>
            <w:r>
              <w:rPr>
                <w:rFonts w:ascii="Arial" w:cs="Arial" w:eastAsia="Arial" w:hAnsi="Arial"/>
                <w:color w:val="595959"/>
                <w:sz w:val="16"/>
                <w:szCs w:val="16"/>
              </w:rPr>
              <w:t xml:space="preserve"/>
            </w:r>
          </w:p>
          <w:p>
            <w:r>
              <w:rPr>
                <w:rFonts w:ascii="Arial" w:cs="Arial" w:eastAsia="Arial" w:hAnsi="Arial"/>
                <w:i/>
                <w:iCs/>
                <w:color w:val="595959"/>
                <w:sz w:val="14"/>
                <w:szCs w:val="14"/>
              </w:rPr>
              <w:t xml:space="preserve"/>
            </w:r>
          </w:p>
        </w:tc>
      </w:tr>
      <w:tr>
        <w:tc>
          <w:tcPr>
            <w:gridSpan w:val="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Condition(s) for Approval:</w:t>
            </w:r>
          </w:p>
        </w:tc>
      </w:tr>
    </w:tbl>
    <w:p>
      <w:r>
        <w:br w:type="page"/>
      </w:r>
    </w:p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F3864"/>
          <w:sz w:val="26"/>
          <w:szCs w:val="26"/>
        </w:rPr>
        <w:t xml:space="preserve">I. Nature of Request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The Business Unit requests renewal and enhancement of the working-capital facilities of Al Noor Trading W.L.L. (Demo) from QAR 36.5 MM to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QAR 43.8 MM</w:t>
      </w:r>
      <w:r>
        <w:rPr>
          <w:rFonts w:ascii="Arial" w:cs="Arial" w:eastAsia="Arial" w:hAnsi="Arial"/>
          <w:sz w:val="20"/>
          <w:szCs w:val="20"/>
        </w:rPr>
        <w:t xml:space="preserve"> (USD 12.0 MM equivalent at parity 3.65), comprising an overdraft of QAR 29.2 MM priced at 3M QIBOR + 3.0% p.a. and a letter-of-credit line of QAR 14.6 MM. The facilities are secured by a first-ranking mortgage over the company's warehouse (valued USD 19.2 MM, 2025) and personal guarantees of the shareholders.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864"/>
          <w:sz w:val="22"/>
          <w:szCs w:val="22"/>
        </w:rPr>
        <w:t xml:space="preserve">Brief Details of Borrower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808080"/>
          <w:sz w:val="20"/>
          <w:szCs w:val="20"/>
        </w:rPr>
        <w:t xml:space="preserve">[Section not yet drafted]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864"/>
          <w:sz w:val="22"/>
          <w:szCs w:val="22"/>
        </w:rPr>
        <w:t xml:space="preserve">Brief Details of Guarantor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808080"/>
          <w:sz w:val="20"/>
          <w:szCs w:val="20"/>
        </w:rPr>
        <w:t xml:space="preserve">[Section not yet drafted]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864"/>
          <w:sz w:val="22"/>
          <w:szCs w:val="22"/>
        </w:rPr>
        <w:t xml:space="preserve">Overview of the Transaction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808080"/>
          <w:sz w:val="20"/>
          <w:szCs w:val="20"/>
        </w:rPr>
        <w:t xml:space="preserve">[Section not yet drafted]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864"/>
          <w:sz w:val="22"/>
          <w:szCs w:val="22"/>
        </w:rPr>
        <w:t xml:space="preserve">Modus Operandi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808080"/>
          <w:sz w:val="20"/>
          <w:szCs w:val="20"/>
        </w:rPr>
        <w:t xml:space="preserve">[Section not yet drafted]</w:t>
      </w:r>
    </w:p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F3864"/>
          <w:sz w:val="26"/>
          <w:szCs w:val="26"/>
        </w:rPr>
        <w:t xml:space="preserve">II. Terms Sheet</w:t>
      </w:r>
    </w:p>
    <w:tbl>
      <w:tblPr>
        <w:tblW w:type="pct" w:w="100%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BFBFBF" w:sz="4"/>
          <w:insideV w:val="single" w:color="BFBFBF" w:sz="4"/>
        </w:tblBorders>
      </w:tblPr>
      <w:tblGrid>
        <w:gridCol w:w="100"/>
        <w:gridCol w:w="100"/>
      </w:tblGrid>
      <w:tr>
        <w:tc>
          <w:tcPr>
            <w:tcW w:type="pct" w:w="25%"/>
            <w:shd w:fill="F2F2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Facility Type</w:t>
            </w:r>
          </w:p>
        </w:tc>
        <w:tc>
          <w:tcPr>
            <w:tcW w:type="pct" w:w="75%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Overdraft</w:t>
            </w:r>
          </w:p>
        </w:tc>
      </w:tr>
      <w:tr>
        <w:tc>
          <w:tcPr>
            <w:tcW w:type="pct" w:w="25%"/>
            <w:shd w:fill="F2F2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Facility Amount</w:t>
            </w:r>
          </w:p>
        </w:tc>
        <w:tc>
          <w:tcPr>
            <w:tcW w:type="pct" w:w="75%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USD 12.0 MM (QAR 43,800K)</w:t>
            </w:r>
          </w:p>
        </w:tc>
      </w:tr>
      <w:tr>
        <w:tc>
          <w:tcPr>
            <w:tcW w:type="pct" w:w="25%"/>
            <w:shd w:fill="F2F2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Purpose</w:t>
            </w:r>
          </w:p>
        </w:tc>
        <w:tc>
          <w:tcPr>
            <w:tcW w:type="pct" w:w="75%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Renewal and enhancement of working-capital facilities (overdraft and trade finance) to support growth in building-materials trading.</w:t>
            </w:r>
          </w:p>
        </w:tc>
      </w:tr>
      <w:tr>
        <w:tc>
          <w:tcPr>
            <w:tcW w:type="pct" w:w="25%"/>
            <w:shd w:fill="F2F2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Interest Rate</w:t>
            </w:r>
          </w:p>
        </w:tc>
        <w:tc>
          <w:tcPr>
            <w:tcW w:type="pct" w:w="75%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3M QIBOR + 3.00% p.a.</w:t>
            </w:r>
          </w:p>
        </w:tc>
      </w:tr>
      <w:tr>
        <w:tc>
          <w:tcPr>
            <w:tcW w:type="pct" w:w="25%"/>
            <w:shd w:fill="F2F2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Management Fee</w:t>
            </w:r>
          </w:p>
        </w:tc>
        <w:tc>
          <w:tcPr>
            <w:tcW w:type="pct" w:w="75%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—</w:t>
            </w:r>
          </w:p>
        </w:tc>
      </w:tr>
      <w:tr>
        <w:tc>
          <w:tcPr>
            <w:tcW w:type="pct" w:w="25%"/>
            <w:shd w:fill="F2F2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Commitment Fee</w:t>
            </w:r>
          </w:p>
        </w:tc>
        <w:tc>
          <w:tcPr>
            <w:tcW w:type="pct" w:w="75%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0.25% p.a. on the undisbursed balance</w:t>
            </w:r>
          </w:p>
        </w:tc>
      </w:tr>
      <w:tr>
        <w:tc>
          <w:tcPr>
            <w:tcW w:type="pct" w:w="25%"/>
            <w:shd w:fill="F2F2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Prepayment Fee</w:t>
            </w:r>
          </w:p>
        </w:tc>
        <w:tc>
          <w:tcPr>
            <w:tcW w:type="pct" w:w="75%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Nil</w:t>
            </w:r>
          </w:p>
        </w:tc>
      </w:tr>
      <w:tr>
        <w:tc>
          <w:tcPr>
            <w:tcW w:type="pct" w:w="25%"/>
            <w:shd w:fill="F2F2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Tenor</w:t>
            </w:r>
          </w:p>
        </w:tc>
        <w:tc>
          <w:tcPr>
            <w:tcW w:type="pct" w:w="75%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1 years</w:t>
            </w:r>
          </w:p>
        </w:tc>
      </w:tr>
      <w:tr>
        <w:tc>
          <w:tcPr>
            <w:tcW w:type="pct" w:w="25%"/>
            <w:shd w:fill="F2F2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Disbursement</w:t>
            </w:r>
          </w:p>
        </w:tc>
        <w:tc>
          <w:tcPr>
            <w:tcW w:type="pct" w:w="75%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12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pct" w:w="25%"/>
            <w:shd w:fill="F2F2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Repayment</w:t>
            </w:r>
          </w:p>
        </w:tc>
        <w:tc>
          <w:tcPr>
            <w:tcW w:type="pct" w:w="75%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12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pct" w:w="25%"/>
            <w:shd w:fill="F2F2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Security / Support</w:t>
            </w:r>
          </w:p>
        </w:tc>
        <w:tc>
          <w:tcPr>
            <w:tcW w:type="pct" w:w="75%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120"/>
            </w:pPr>
            <w:r>
              <w:rPr>
                <w:rFonts w:ascii="Arial" w:cs="Arial" w:eastAsia="Arial" w:hAnsi="Arial"/>
                <w:i/>
                <w:iCs/>
                <w:color w:val="C00000"/>
                <w:sz w:val="16"/>
                <w:szCs w:val="16"/>
              </w:rPr>
              <w:t xml:space="preserve">[AI-generated draft — pending analyst approval]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Mortgage over the warehouse and yard located in the Industrial Area, with a reported value of USD 19,200K as at 15 November 2025 (Source: application form).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Personal guarantees are provided as support for the overdraft facilities; the guarantors, guarantee amounts and enforceability details are not specified (Source: application form). [Analyst to confirm: guarantor identities, net worth and guarantee coverage].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Letters of credit are supported by a 10% cash margin (Source: application form).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The proposed security coverage is stated at 160%, with an LTV cap of 60% (Source: application form).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No top-up trigger or liquidation trigger has been specified. [Analyst to confirm: valuation monitoring frequency, top-up mechanism, liquidation trigger and required cure period].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[Analyst to confirm: mortgage ranking, registration status, existing encumbrances and whether the stated collateral value supports the proposed exposure after applying the Bank’s approved valuation and haircut methodology].</w:t>
            </w:r>
          </w:p>
        </w:tc>
      </w:tr>
      <w:tr>
        <w:tc>
          <w:tcPr>
            <w:tcW w:type="pct" w:w="25%"/>
            <w:shd w:fill="F2F2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Conditions Precedent</w:t>
            </w:r>
          </w:p>
        </w:tc>
        <w:tc>
          <w:tcPr>
            <w:tcW w:type="pct" w:w="75%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12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pct" w:w="25%"/>
            <w:shd w:fill="F2F2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Performance Monitoring</w:t>
            </w:r>
          </w:p>
        </w:tc>
        <w:tc>
          <w:tcPr>
            <w:tcW w:type="pct" w:w="75%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12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pct" w:w="25%"/>
            <w:shd w:fill="F2F2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Terms &amp; Conditions</w:t>
            </w:r>
          </w:p>
        </w:tc>
        <w:tc>
          <w:tcPr>
            <w:tcW w:type="pct" w:w="75%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12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pct" w:w="25%"/>
            <w:shd w:fill="F2F2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Covenants</w:t>
            </w:r>
          </w:p>
        </w:tc>
        <w:tc>
          <w:tcPr>
            <w:tcW w:type="pct" w:w="75%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12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pct" w:w="25%"/>
            <w:shd w:fill="F2F2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Governing Law</w:t>
            </w:r>
          </w:p>
        </w:tc>
        <w:tc>
          <w:tcPr>
            <w:tcW w:type="pct" w:w="75%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Qatari Law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F3864"/>
          <w:sz w:val="26"/>
          <w:szCs w:val="26"/>
        </w:rPr>
        <w:t xml:space="preserve">III. Borrower Background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Al Noor Trading W.L.L. (Demo) was established 18 years ago and distributes building materials to contractors across Qatar. The company is owned by two Qatari shareholders (51% / 49%) and managed by a General Manager with 25 years of sector experience.</w:t>
      </w:r>
    </w:p>
    <w:p>
      <w:pPr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Shareholding Structure</w:t>
      </w:r>
    </w:p>
    <w:tbl>
      <w:tblPr>
        <w:tblW w:type="pct" w:w="100%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BFBFBF" w:sz="4"/>
          <w:insideV w:val="single" w:color="BFBFBF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Shareholder</w:t>
            </w:r>
          </w:p>
        </w:tc>
        <w:tc>
          <w:tcPr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% Holding</w:t>
            </w:r>
          </w:p>
        </w:tc>
        <w:tc>
          <w:tcPr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Nationality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Demo Shareholder A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51%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Qatari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Demo Shareholder B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49%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Qatari</w:t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Management Details</w:t>
      </w:r>
    </w:p>
    <w:tbl>
      <w:tblPr>
        <w:tblW w:type="pct" w:w="100%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BFBFBF" w:sz="4"/>
          <w:insideV w:val="single" w:color="BFBFBF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Name</w:t>
            </w:r>
          </w:p>
        </w:tc>
        <w:tc>
          <w:tcPr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Nationality</w:t>
            </w:r>
          </w:p>
        </w:tc>
        <w:tc>
          <w:tcPr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Position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Demo General Manager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Qatari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General Manager</w:t>
            </w:r>
          </w:p>
        </w:tc>
      </w:tr>
      <w:tr>
        <w:tc>
          <w:tcPr>
            <w:gridSpan w:val="3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Profile: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25 years in building-materials distribution across the GCC.</w:t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F3864"/>
          <w:sz w:val="26"/>
          <w:szCs w:val="26"/>
        </w:rPr>
        <w:t xml:space="preserve">IV. Industry Analysis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808080"/>
          <w:sz w:val="20"/>
          <w:szCs w:val="20"/>
        </w:rPr>
        <w:t xml:space="preserve">[Section not yet drafted]</w:t>
      </w:r>
    </w:p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F3864"/>
          <w:sz w:val="26"/>
          <w:szCs w:val="26"/>
        </w:rPr>
        <w:t xml:space="preserve">V. Financial Analysis</w:t>
      </w:r>
    </w:p>
    <w:p>
      <w:pPr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Snapshot of Financial Performance — Al Noor Trading W.L.L. (Demo)</w:t>
      </w:r>
    </w:p>
    <w:tbl>
      <w:tblPr>
        <w:tblW w:type="pct" w:w="100%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BFBFBF" w:sz="4"/>
          <w:insideV w:val="single" w:color="BFBFBF" w:sz="4"/>
        </w:tblBorders>
      </w:tblPr>
      <w:tblGrid>
        <w:gridCol w:w="100"/>
        <w:gridCol w:w="100"/>
      </w:tblGrid>
      <w:tr>
        <w:tc>
          <w:tcPr>
            <w:tcW w:type="pct" w:w="30%"/>
            <w:shd w:fill="F2F2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Company</w:t>
            </w:r>
          </w:p>
        </w:tc>
        <w:tc>
          <w:tcPr>
            <w:tcW w:type="pct" w:w="70%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Al Noor Trading W.L.L. (Demo)</w:t>
            </w:r>
          </w:p>
        </w:tc>
      </w:tr>
      <w:tr>
        <w:tc>
          <w:tcPr>
            <w:tcW w:type="pct" w:w="30%"/>
            <w:shd w:fill="F2F2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Type of Accounts</w:t>
            </w:r>
          </w:p>
        </w:tc>
        <w:tc>
          <w:tcPr>
            <w:tcW w:type="pct" w:w="70%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audited</w:t>
            </w:r>
          </w:p>
        </w:tc>
      </w:tr>
      <w:tr>
        <w:tc>
          <w:tcPr>
            <w:tcW w:type="pct" w:w="30%"/>
            <w:shd w:fill="F2F2F2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Currency / Unit</w:t>
            </w:r>
          </w:p>
        </w:tc>
        <w:tc>
          <w:tcPr>
            <w:tcW w:type="pct" w:w="70%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USD 000s</w:t>
            </w:r>
          </w:p>
        </w:tc>
      </w:tr>
    </w:tbl>
    <w:p>
      <w:pPr>
        <w:spacing w:after="4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pct" w:w="100%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BFBFBF" w:sz="4"/>
          <w:insideV w:val="single" w:color="BFBFBF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Line item</w:t>
            </w:r>
          </w:p>
        </w:tc>
        <w:tc>
          <w:tcPr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FY2023</w:t>
            </w:r>
          </w:p>
        </w:tc>
        <w:tc>
          <w:tcPr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FY2024</w:t>
            </w:r>
          </w:p>
        </w:tc>
        <w:tc>
          <w:tcPr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FY2025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Revenue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38,400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42,100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46,900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Cost of sales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-30,100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-32,800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-36,600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Gross profit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8,300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9,300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10,300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Operating expenses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-5,200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-5,700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-6,300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EBITDA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3,600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4,100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4,600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Depreciation &amp; amortisation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-500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-500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-600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Finance cost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-900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-1,050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-1,200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Net profit / (loss)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2,200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2,550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2,800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Total assets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31,000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34,500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38,900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Current assets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22,000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24,800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28,100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Cash &amp; bank balances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2,100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2,400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2,900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Receivables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11,500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13,200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15,100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Inventory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8,400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9,200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10,100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Total liabilities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18,200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19,800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21,600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Current liabilities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15,900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17,300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18,900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Total debt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12,100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13,000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14,200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Net worth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12,800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14,700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17,300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Tangible net worth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12,500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14,400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17,000</w:t>
            </w:r>
          </w:p>
        </w:tc>
      </w:tr>
    </w:tbl>
    <w:p>
      <w:pPr>
        <w:spacing w:after="4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pct" w:w="100%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BFBFBF" w:sz="4"/>
          <w:insideV w:val="single" w:color="BFBFBF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Ratio</w:t>
            </w:r>
          </w:p>
        </w:tc>
        <w:tc>
          <w:tcPr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Value</w:t>
            </w:r>
          </w:p>
        </w:tc>
        <w:tc>
          <w:tcPr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Assessment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Debt service coverage (DSCR) (FY2025)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3.83x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GOOD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Interest coverage (EBITDA / interest) (FY2025)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3.83x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GOOD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Leverage (total liabilities / tangible net worth) (FY2025)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1.27x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GOOD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Current ratio (FY2025)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1.49x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ACCEPTABLE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Revenue trend (latest year) (FY2025)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11.4%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GOOD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Profitability (net margin) (FY2025)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6.0%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GOOD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Security coverage (collateral / exposure)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160%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ACCEPTABLE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LTV on pledged securities / fund units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63%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ACCEPTABLE</w:t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Revenue grew 11.4% in FY2025 to USD 46.9 MM on higher infrastructure activity (Source: application form).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EBITDA margin improved to 9.8%; net profit of USD 2.8 MM.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Leverage (total liabilities / TNW) improved to 1.27x; current ratio 1.49x.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Receivable days remain elevated at ~117 days, reflecting contractor payment cycles.</w:t>
      </w:r>
    </w:p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F3864"/>
          <w:sz w:val="26"/>
          <w:szCs w:val="26"/>
        </w:rPr>
        <w:t xml:space="preserve">VI. Account Conduct &amp; Profitability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808080"/>
          <w:sz w:val="20"/>
          <w:szCs w:val="20"/>
        </w:rPr>
        <w:t xml:space="preserve">New relationship — not applicable.</w:t>
      </w:r>
    </w:p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F3864"/>
          <w:sz w:val="26"/>
          <w:szCs w:val="26"/>
        </w:rPr>
        <w:t xml:space="preserve">VII. QCB and Credit Bureau Reports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808080"/>
          <w:sz w:val="20"/>
          <w:szCs w:val="20"/>
        </w:rPr>
        <w:t xml:space="preserve">[Section not yet drafted]</w:t>
      </w:r>
    </w:p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F3864"/>
          <w:sz w:val="26"/>
          <w:szCs w:val="26"/>
        </w:rPr>
        <w:t xml:space="preserve">VIII. Sources of Repayment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Primary:</w:t>
      </w:r>
      <w:r>
        <w:rPr>
          <w:rFonts w:ascii="Arial" w:cs="Arial" w:eastAsia="Arial" w:hAnsi="Arial"/>
          <w:sz w:val="20"/>
          <w:szCs w:val="20"/>
        </w:rPr>
        <w:t xml:space="preserve"> operating cash flows from trading activity (EBITDA USD 4.6 MM).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Secondary:</w:t>
      </w:r>
      <w:r>
        <w:rPr>
          <w:rFonts w:ascii="Arial" w:cs="Arial" w:eastAsia="Arial" w:hAnsi="Arial"/>
          <w:sz w:val="20"/>
          <w:szCs w:val="20"/>
        </w:rPr>
        <w:t xml:space="preserve"> realisation of mortgaged warehouse (coverage 160%) and personal guarantees.</w:t>
      </w:r>
    </w:p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F3864"/>
          <w:sz w:val="26"/>
          <w:szCs w:val="26"/>
        </w:rPr>
        <w:t xml:space="preserve">IX. Risk Rating</w:t>
      </w:r>
    </w:p>
    <w:p>
      <w:pPr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Proposed rating: R05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Established 18-year trading track record with consistent profitability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Leverage within acceptable range; adequate interest coverage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Concentration in construction sector partially mitigated by diversified customer base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808080"/>
          <w:sz w:val="20"/>
          <w:szCs w:val="20"/>
        </w:rPr>
        <w:t xml:space="preserve"/>
      </w:r>
    </w:p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F3864"/>
          <w:sz w:val="26"/>
          <w:szCs w:val="26"/>
        </w:rPr>
        <w:t xml:space="preserve">X. Risks &amp; Mitigants</w:t>
      </w:r>
    </w:p>
    <w:tbl>
      <w:tblPr>
        <w:tblW w:type="pct" w:w="100%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BFBFBF" w:sz="4"/>
          <w:insideV w:val="single" w:color="BFBFBF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Risk</w:t>
            </w:r>
          </w:p>
        </w:tc>
        <w:tc>
          <w:tcPr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Description</w:t>
            </w:r>
          </w:p>
        </w:tc>
        <w:tc>
          <w:tcPr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Mitigant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Lower fund returns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Distributions from the underlying investments may fall short of expectations.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Diversified pool of funds; guarantor support; DSRA covering interest.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Security risk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Collateral value may fall below required coverage.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LTV maintenance with top-up and liquidation triggers; monthly NAV reporting.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Interest rate risk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Rising benchmark rates increase debt service.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Max all-in rate cap; interest serviced from distributions and guarantor.</w:t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F3864"/>
          <w:sz w:val="26"/>
          <w:szCs w:val="26"/>
        </w:rPr>
        <w:t xml:space="preserve">XI. Recommendation</w:t>
      </w:r>
    </w:p>
    <w:p>
      <w:pPr>
        <w:spacing w:after="60"/>
        <w:ind w:left="360" w:hanging="360"/>
      </w:pPr>
      <w:r>
        <w:rPr>
          <w:rFonts w:ascii="Arial" w:cs="Arial" w:eastAsia="Arial" w:hAnsi="Arial"/>
          <w:sz w:val="20"/>
          <w:szCs w:val="20"/>
        </w:rPr>
        <w:t xml:space="preserve">1. </w:t>
      </w:r>
      <w:r>
        <w:rPr>
          <w:rFonts w:ascii="Arial" w:cs="Arial" w:eastAsia="Arial" w:hAnsi="Arial"/>
          <w:sz w:val="20"/>
          <w:szCs w:val="20"/>
        </w:rPr>
        <w:t xml:space="preserve">Long-standing relationship with satisfactory conduct.</w:t>
      </w:r>
    </w:p>
    <w:p>
      <w:pPr>
        <w:spacing w:after="60"/>
        <w:ind w:left="360" w:hanging="360"/>
      </w:pPr>
      <w:r>
        <w:rPr>
          <w:rFonts w:ascii="Arial" w:cs="Arial" w:eastAsia="Arial" w:hAnsi="Arial"/>
          <w:sz w:val="20"/>
          <w:szCs w:val="20"/>
        </w:rPr>
        <w:t xml:space="preserve">2. </w:t>
      </w:r>
      <w:r>
        <w:rPr>
          <w:rFonts w:ascii="Arial" w:cs="Arial" w:eastAsia="Arial" w:hAnsi="Arial"/>
          <w:sz w:val="20"/>
          <w:szCs w:val="20"/>
        </w:rPr>
        <w:t xml:space="preserve">Consistent profitability and improving leverage.</w:t>
      </w:r>
    </w:p>
    <w:p>
      <w:pPr>
        <w:spacing w:after="60"/>
        <w:ind w:left="360" w:hanging="360"/>
      </w:pPr>
      <w:r>
        <w:rPr>
          <w:rFonts w:ascii="Arial" w:cs="Arial" w:eastAsia="Arial" w:hAnsi="Arial"/>
          <w:sz w:val="20"/>
          <w:szCs w:val="20"/>
        </w:rPr>
        <w:t xml:space="preserve">3. </w:t>
      </w:r>
      <w:r>
        <w:rPr>
          <w:rFonts w:ascii="Arial" w:cs="Arial" w:eastAsia="Arial" w:hAnsi="Arial"/>
          <w:sz w:val="20"/>
          <w:szCs w:val="20"/>
        </w:rPr>
        <w:t xml:space="preserve">Adequate tangible security coverage.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The Business Unit recommends the renewal and enhancement of facilities for the committee's consideration.</w:t>
      </w:r>
    </w:p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F3864"/>
          <w:sz w:val="26"/>
          <w:szCs w:val="26"/>
        </w:rPr>
        <w:t xml:space="preserve">XII. Appendix</w:t>
      </w:r>
    </w:p>
    <w:tbl>
      <w:tblPr>
        <w:tblW w:type="pct" w:w="100%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BFBFBF" w:sz="4"/>
          <w:insideV w:val="single" w:color="BFBFBF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#</w:t>
            </w:r>
          </w:p>
        </w:tc>
        <w:tc>
          <w:tcPr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Attachment</w:t>
            </w:r>
          </w:p>
        </w:tc>
        <w:tc>
          <w:tcPr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Category</w:t>
            </w:r>
          </w:p>
        </w:tc>
        <w:tc>
          <w:tcPr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Pages</w:t>
            </w:r>
          </w:p>
        </w:tc>
        <w:tc>
          <w:tcPr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Uploaded</w:t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20"/>
      </w:pPr>
      <w:r>
        <w:rPr>
          <w:rFonts w:ascii="Arial" w:cs="Arial" w:eastAsia="Arial" w:hAnsi="Arial"/>
          <w:i/>
          <w:iCs/>
          <w:color w:val="808080"/>
          <w:sz w:val="16"/>
          <w:szCs w:val="16"/>
        </w:rPr>
        <w:t xml:space="preserve">Generated by the CAM Portal on 01 Nov 2026 01:49 — stage 5: Independent Risk Review.</w:t>
      </w:r>
    </w:p>
    <w:sectPr>
      <w:headerReference w:type="default" r:id="rId7"/>
      <w:footerReference w:type="default" r:id="rId8"/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120"/>
      <w:jc w:val="center"/>
    </w:pPr>
    <w:r>
      <w:rPr>
        <w:rFonts w:ascii="Arial" w:cs="Arial" w:eastAsia="Arial" w:hAnsi="Arial"/>
        <w:color w:val="808080"/>
        <w:sz w:val="16"/>
        <w:szCs w:val="16"/>
      </w:rPr>
      <w:t xml:space="preserve">CONFIDENTIAL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120"/>
      <w:jc w:val="right"/>
    </w:pPr>
    <w:r>
      <w:rPr>
        <w:rFonts w:ascii="Arial" w:cs="Arial" w:eastAsia="Arial" w:hAnsi="Arial"/>
        <w:color w:val="808080"/>
        <w:sz w:val="16"/>
        <w:szCs w:val="16"/>
      </w:rPr>
      <w:t xml:space="preserve">Ahlibank Q.P.S.C. — Credit Appraisal Memorandum — CAM-0002/2026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 CAM-0002/2026</dc:title>
  <dc:creator>CAM Portal</dc:creator>
  <cp:lastModifiedBy>Un-named</cp:lastModifiedBy>
  <cp:revision>1</cp:revision>
  <dcterms:created xsi:type="dcterms:W3CDTF">2026-10-31T22:49:45.034Z</dcterms:created>
  <dcterms:modified xsi:type="dcterms:W3CDTF">2026-10-31T22:49:45.034Z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