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color w:val="1F3864"/>
          <w:sz w:val="28"/>
          <w:szCs w:val="28"/>
        </w:rPr>
        <w:t xml:space="preserve">Ahlibank Q.P.S.C.</w:t>
      </w:r>
    </w:p>
    <w:p>
      <w:pPr>
        <w:spacing w:after="120"/>
        <w:jc w:val="center"/>
      </w:pPr>
      <w:r>
        <w:rPr>
          <w:rFonts w:ascii="Arial" w:cs="Arial" w:eastAsia="Arial" w:hAnsi="Arial"/>
          <w:b/>
          <w:bCs/>
          <w:sz w:val="32"/>
          <w:szCs w:val="32"/>
        </w:rPr>
        <w:t xml:space="preserve">Credit Appraisal Memorandum</w:t>
      </w:r>
    </w:p>
    <w:p>
      <w:pPr>
        <w:spacing w:after="240"/>
        <w:jc w:val="center"/>
      </w:pPr>
      <w:r>
        <w:rPr>
          <w:rFonts w:ascii="Arial" w:cs="Arial" w:eastAsia="Arial" w:hAnsi="Arial"/>
          <w:sz w:val="22"/>
          <w:szCs w:val="22"/>
        </w:rPr>
        <w:t xml:space="preserve">Private Banking &amp; Wealth Management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Date</w:t>
            </w:r>
          </w:p>
        </w:tc>
        <w:tc>
          <w:tcPr>
            <w:tcW w:type="pct" w:w="70%"/>
            <w:tcMar>
              <w:top w:type="dxa" w:w="40"/>
              <w:left w:type="dxa" w:w="80"/>
              <w:bottom w:type="dxa" w:w="40"/>
              <w:right w:type="dxa" w:w="80"/>
            </w:tcMar>
          </w:tcPr>
          <w:p>
            <w:r>
              <w:rPr>
                <w:rFonts w:ascii="Arial" w:cs="Arial" w:eastAsia="Arial" w:hAnsi="Arial"/>
                <w:sz w:val="18"/>
                <w:szCs w:val="18"/>
              </w:rPr>
              <w:t xml:space="preserve">27 Aug 2026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Ref No.</w:t>
            </w:r>
          </w:p>
        </w:tc>
        <w:tc>
          <w:tcPr>
            <w:tcW w:type="pct" w:w="70%"/>
            <w:tcMar>
              <w:top w:type="dxa" w:w="40"/>
              <w:left w:type="dxa" w:w="80"/>
              <w:bottom w:type="dxa" w:w="40"/>
              <w:right w:type="dxa" w:w="80"/>
            </w:tcMar>
          </w:tcPr>
          <w:p>
            <w:r>
              <w:rPr>
                <w:rFonts w:ascii="Arial" w:cs="Arial" w:eastAsia="Arial" w:hAnsi="Arial"/>
                <w:sz w:val="18"/>
                <w:szCs w:val="18"/>
              </w:rPr>
              <w:t xml:space="preserve">CAM-0003/2026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Client Name</w:t>
            </w:r>
          </w:p>
        </w:tc>
        <w:tc>
          <w:tcPr>
            <w:tcW w:type="pct" w:w="70%"/>
            <w:tcMar>
              <w:top w:type="dxa" w:w="40"/>
              <w:left w:type="dxa" w:w="80"/>
              <w:bottom w:type="dxa" w:w="40"/>
              <w:right w:type="dxa" w:w="80"/>
            </w:tcMar>
          </w:tcPr>
          <w:p>
            <w:r>
              <w:rPr>
                <w:rFonts w:ascii="Arial" w:cs="Arial" w:eastAsia="Arial" w:hAnsi="Arial"/>
                <w:sz w:val="18"/>
                <w:szCs w:val="18"/>
              </w:rPr>
              <w:t xml:space="preserve">oussama iqbal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Risk Rating</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 (to be opened)</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Related to Group</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0%"/>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applicant has requested a Demand Loan facility; however, the stated purpose of the facility has not been provided in the application materials (Source: application form). Accordingly, the proposed use of proceeds, underlying transaction or funding requirement cannot be assessed at this stage. [Analyst to confirm: facility purpose, proposed use of proceeds, supporting transaction documentation and rationale for the requested facility amount.] The proposal is submitted for the Credit Committee’s consideration, subject to satisfactory clarification and verification of the facility purpose.</w:t>
            </w:r>
          </w:p>
        </w:tc>
      </w:tr>
    </w:tbl>
    <w:p>
      <w:r>
        <w:br w:type="page"/>
      </w:r>
    </w:p>
    <w:p>
      <w:pPr>
        <w:pStyle w:val="Heading1"/>
        <w:spacing w:after="120" w:before="240"/>
      </w:pPr>
      <w:r>
        <w:rPr>
          <w:rFonts w:ascii="Arial" w:cs="Arial" w:eastAsia="Arial" w:hAnsi="Arial"/>
          <w:b/>
          <w:bCs/>
          <w:color w:val="1F3864"/>
          <w:sz w:val="26"/>
          <w:szCs w:val="26"/>
        </w:rPr>
        <w:t xml:space="preserve">Tracking Sheet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Borrower</w:t>
            </w:r>
          </w:p>
        </w:tc>
        <w:tc>
          <w:tcPr>
            <w:tcW w:type="pct" w:w="70%"/>
            <w:tcMar>
              <w:top w:type="dxa" w:w="40"/>
              <w:left w:type="dxa" w:w="80"/>
              <w:bottom w:type="dxa" w:w="40"/>
              <w:right w:type="dxa" w:w="80"/>
            </w:tcMar>
          </w:tcPr>
          <w:p>
            <w:r>
              <w:rPr>
                <w:rFonts w:ascii="Arial" w:cs="Arial" w:eastAsia="Arial" w:hAnsi="Arial"/>
                <w:sz w:val="18"/>
                <w:szCs w:val="18"/>
              </w:rPr>
              <w:t xml:space="preserve">oussama iqbal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Unit</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Name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Out-Date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Action / Signature</w:t>
            </w:r>
          </w:p>
        </w:tc>
      </w:tr>
      <w:tr>
        <w:tc>
          <w:tcPr>
            <w:tcMar>
              <w:top w:type="dxa" w:w="40"/>
              <w:left w:type="dxa" w:w="80"/>
              <w:bottom w:type="dxa" w:w="40"/>
              <w:right w:type="dxa" w:w="80"/>
            </w:tcMar>
          </w:tcPr>
          <w:p>
            <w:r>
              <w:rPr>
                <w:rFonts w:ascii="Arial" w:cs="Arial" w:eastAsia="Arial" w:hAnsi="Arial"/>
                <w:sz w:val="18"/>
                <w:szCs w:val="18"/>
              </w:rPr>
              <w:t xml:space="preserve">Relationship Manager (Business Unit)</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27 Aug 2026 05:55</w:t>
            </w:r>
          </w:p>
        </w:tc>
        <w:tc>
          <w:tcPr>
            <w:tcMar>
              <w:top w:type="dxa" w:w="40"/>
              <w:left w:type="dxa" w:w="80"/>
              <w:bottom w:type="dxa" w:w="40"/>
              <w:right w:type="dxa" w:w="80"/>
            </w:tcMar>
          </w:tcPr>
          <w:p>
            <w:r>
              <w:rPr>
                <w:rFonts w:ascii="Arial" w:cs="Arial" w:eastAsia="Arial" w:hAnsi="Arial"/>
                <w:sz w:val="18"/>
                <w:szCs w:val="18"/>
              </w:rPr>
              <w:t xml:space="preserve">submit → CAM Preparation</w:t>
            </w:r>
          </w:p>
        </w:tc>
      </w:tr>
      <w:tr>
        <w:tc>
          <w:tcPr>
            <w:tcMar>
              <w:top w:type="dxa" w:w="40"/>
              <w:left w:type="dxa" w:w="80"/>
              <w:bottom w:type="dxa" w:w="40"/>
              <w:right w:type="dxa" w:w="80"/>
            </w:tcMar>
          </w:tcPr>
          <w:p>
            <w:r>
              <w:rPr>
                <w:rFonts w:ascii="Arial" w:cs="Arial" w:eastAsia="Arial" w:hAnsi="Arial"/>
                <w:sz w:val="18"/>
                <w:szCs w:val="18"/>
              </w:rPr>
              <w:t xml:space="preserve">Business Unit analyst (Preparer)</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27 Aug 2026 06:08</w:t>
            </w:r>
          </w:p>
        </w:tc>
        <w:tc>
          <w:tcPr>
            <w:tcMar>
              <w:top w:type="dxa" w:w="40"/>
              <w:left w:type="dxa" w:w="80"/>
              <w:bottom w:type="dxa" w:w="40"/>
              <w:right w:type="dxa" w:w="80"/>
            </w:tcMar>
          </w:tcPr>
          <w:p>
            <w:r>
              <w:rPr>
                <w:rFonts w:ascii="Arial" w:cs="Arial" w:eastAsia="Arial" w:hAnsi="Arial"/>
                <w:sz w:val="18"/>
                <w:szCs w:val="18"/>
              </w:rPr>
              <w:t xml:space="preserve">submit → Business Sign-off</w:t>
            </w:r>
          </w:p>
        </w:tc>
      </w:tr>
      <w:tr>
        <w:tc>
          <w:tcPr>
            <w:tcMar>
              <w:top w:type="dxa" w:w="40"/>
              <w:left w:type="dxa" w:w="80"/>
              <w:bottom w:type="dxa" w:w="40"/>
              <w:right w:type="dxa" w:w="80"/>
            </w:tcMar>
          </w:tcPr>
          <w:p>
            <w:r>
              <w:rPr>
                <w:rFonts w:ascii="Arial" w:cs="Arial" w:eastAsia="Arial" w:hAnsi="Arial"/>
                <w:sz w:val="18"/>
                <w:szCs w:val="18"/>
              </w:rPr>
              <w:t xml:space="preserve">BU management (Recommender → Concurrer)</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27 Aug 2026 06:08</w:t>
            </w:r>
          </w:p>
        </w:tc>
        <w:tc>
          <w:tcPr>
            <w:tcMar>
              <w:top w:type="dxa" w:w="40"/>
              <w:left w:type="dxa" w:w="80"/>
              <w:bottom w:type="dxa" w:w="40"/>
              <w:right w:type="dxa" w:w="80"/>
            </w:tcMar>
          </w:tcPr>
          <w:p>
            <w:r>
              <w:rPr>
                <w:rFonts w:ascii="Arial" w:cs="Arial" w:eastAsia="Arial" w:hAnsi="Arial"/>
                <w:sz w:val="18"/>
                <w:szCs w:val="18"/>
              </w:rPr>
              <w:t xml:space="preserve">pass → Credit Admin Control</w:t>
            </w:r>
          </w:p>
        </w:tc>
      </w:tr>
      <w:tr>
        <w:tc>
          <w:tcPr>
            <w:tcMar>
              <w:top w:type="dxa" w:w="40"/>
              <w:left w:type="dxa" w:w="80"/>
              <w:bottom w:type="dxa" w:w="40"/>
              <w:right w:type="dxa" w:w="80"/>
            </w:tcMar>
          </w:tcPr>
          <w:p>
            <w:r>
              <w:rPr>
                <w:rFonts w:ascii="Arial" w:cs="Arial" w:eastAsia="Arial" w:hAnsi="Arial"/>
                <w:sz w:val="18"/>
                <w:szCs w:val="18"/>
              </w:rPr>
              <w:t xml:space="preserve">Corporate Credit Administration</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27 Aug 2026 06:09</w:t>
            </w:r>
          </w:p>
        </w:tc>
        <w:tc>
          <w:tcPr>
            <w:tcMar>
              <w:top w:type="dxa" w:w="40"/>
              <w:left w:type="dxa" w:w="80"/>
              <w:bottom w:type="dxa" w:w="40"/>
              <w:right w:type="dxa" w:w="80"/>
            </w:tcMar>
          </w:tcPr>
          <w:p>
            <w:r>
              <w:rPr>
                <w:rFonts w:ascii="Arial" w:cs="Arial" w:eastAsia="Arial" w:hAnsi="Arial"/>
                <w:sz w:val="18"/>
                <w:szCs w:val="18"/>
              </w:rPr>
              <w:t xml:space="preserve">pass → Independent Risk Review</w:t>
            </w:r>
          </w:p>
        </w:tc>
      </w:tr>
      <w:tr>
        <w:tc>
          <w:tcPr>
            <w:tcMar>
              <w:top w:type="dxa" w:w="40"/>
              <w:left w:type="dxa" w:w="80"/>
              <w:bottom w:type="dxa" w:w="40"/>
              <w:right w:type="dxa" w:w="80"/>
            </w:tcMar>
          </w:tcPr>
          <w:p>
            <w:r>
              <w:rPr>
                <w:rFonts w:ascii="Arial" w:cs="Arial" w:eastAsia="Arial" w:hAnsi="Arial"/>
                <w:sz w:val="18"/>
                <w:szCs w:val="18"/>
              </w:rPr>
              <w:t xml:space="preserve">Risk Management</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27 Aug 2026 06:10</w:t>
            </w:r>
          </w:p>
        </w:tc>
        <w:tc>
          <w:tcPr>
            <w:tcMar>
              <w:top w:type="dxa" w:w="40"/>
              <w:left w:type="dxa" w:w="80"/>
              <w:bottom w:type="dxa" w:w="40"/>
              <w:right w:type="dxa" w:w="80"/>
            </w:tcMar>
          </w:tcPr>
          <w:p>
            <w:r>
              <w:rPr>
                <w:rFonts w:ascii="Arial" w:cs="Arial" w:eastAsia="Arial" w:hAnsi="Arial"/>
                <w:sz w:val="18"/>
                <w:szCs w:val="18"/>
              </w:rPr>
              <w:t xml:space="preserve">pass → Committee Approval</w:t>
            </w:r>
          </w:p>
        </w:tc>
      </w:tr>
      <w:tr>
        <w:tc>
          <w:tcPr>
            <w:tcMar>
              <w:top w:type="dxa" w:w="40"/>
              <w:left w:type="dxa" w:w="80"/>
              <w:bottom w:type="dxa" w:w="40"/>
              <w:right w:type="dxa" w:w="80"/>
            </w:tcMar>
          </w:tcPr>
          <w:p>
            <w:r>
              <w:rPr>
                <w:rFonts w:ascii="Arial" w:cs="Arial" w:eastAsia="Arial" w:hAnsi="Arial"/>
                <w:sz w:val="18"/>
                <w:szCs w:val="18"/>
              </w:rPr>
              <w:t xml:space="preserve">L2 / L1 / Credit Committee / Executive Committee</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27 Aug 2026 06:10</w:t>
            </w:r>
          </w:p>
        </w:tc>
        <w:tc>
          <w:tcPr>
            <w:tcMar>
              <w:top w:type="dxa" w:w="40"/>
              <w:left w:type="dxa" w:w="80"/>
              <w:bottom w:type="dxa" w:w="40"/>
              <w:right w:type="dxa" w:w="80"/>
            </w:tcMar>
          </w:tcPr>
          <w:p>
            <w:r>
              <w:rPr>
                <w:rFonts w:ascii="Arial" w:cs="Arial" w:eastAsia="Arial" w:hAnsi="Arial"/>
                <w:sz w:val="18"/>
                <w:szCs w:val="18"/>
              </w:rPr>
              <w:t xml:space="preserve">approve → Committee Approval</w:t>
            </w:r>
          </w:p>
        </w:tc>
      </w:tr>
      <w:tr>
        <w:tc>
          <w:tcPr>
            <w:tcMar>
              <w:top w:type="dxa" w:w="40"/>
              <w:left w:type="dxa" w:w="80"/>
              <w:bottom w:type="dxa" w:w="40"/>
              <w:right w:type="dxa" w:w="80"/>
            </w:tcMar>
          </w:tcPr>
          <w:p>
            <w:r>
              <w:rPr>
                <w:rFonts w:ascii="Arial" w:cs="Arial" w:eastAsia="Arial" w:hAnsi="Arial"/>
                <w:sz w:val="18"/>
                <w:szCs w:val="18"/>
              </w:rPr>
              <w:t xml:space="preserve">L2 / L1 / Credit Committee / Executive Committee</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27 Aug 2026 06:10</w:t>
            </w:r>
          </w:p>
        </w:tc>
        <w:tc>
          <w:tcPr>
            <w:tcMar>
              <w:top w:type="dxa" w:w="40"/>
              <w:left w:type="dxa" w:w="80"/>
              <w:bottom w:type="dxa" w:w="40"/>
              <w:right w:type="dxa" w:w="80"/>
            </w:tcMar>
          </w:tcPr>
          <w:p>
            <w:r>
              <w:rPr>
                <w:rFonts w:ascii="Arial" w:cs="Arial" w:eastAsia="Arial" w:hAnsi="Arial"/>
                <w:sz w:val="18"/>
                <w:szCs w:val="18"/>
              </w:rPr>
              <w:t xml:space="preserve">approve → Regulatory Approvals</w:t>
            </w:r>
          </w:p>
        </w:tc>
      </w:tr>
      <w:tr>
        <w:tc>
          <w:tcPr>
            <w:tcMar>
              <w:top w:type="dxa" w:w="40"/>
              <w:left w:type="dxa" w:w="80"/>
              <w:bottom w:type="dxa" w:w="40"/>
              <w:right w:type="dxa" w:w="80"/>
            </w:tcMar>
          </w:tcPr>
          <w:p>
            <w:r>
              <w:rPr>
                <w:rFonts w:ascii="Arial" w:cs="Arial" w:eastAsia="Arial" w:hAnsi="Arial"/>
                <w:sz w:val="18"/>
                <w:szCs w:val="18"/>
              </w:rPr>
              <w:t xml:space="preserve">Business Unit / Compliance</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27 Aug 2026 06:11</w:t>
            </w:r>
          </w:p>
        </w:tc>
        <w:tc>
          <w:tcPr>
            <w:tcMar>
              <w:top w:type="dxa" w:w="40"/>
              <w:left w:type="dxa" w:w="80"/>
              <w:bottom w:type="dxa" w:w="40"/>
              <w:right w:type="dxa" w:w="80"/>
            </w:tcMar>
          </w:tcPr>
          <w:p>
            <w:r>
              <w:rPr>
                <w:rFonts w:ascii="Arial" w:cs="Arial" w:eastAsia="Arial" w:hAnsi="Arial"/>
                <w:sz w:val="18"/>
                <w:szCs w:val="18"/>
              </w:rPr>
              <w:t xml:space="preserve">pass → Documentation &amp; CPs</w:t>
            </w:r>
          </w:p>
        </w:tc>
      </w:tr>
      <w:tr>
        <w:tc>
          <w:tcPr>
            <w:tcMar>
              <w:top w:type="dxa" w:w="40"/>
              <w:left w:type="dxa" w:w="80"/>
              <w:bottom w:type="dxa" w:w="40"/>
              <w:right w:type="dxa" w:w="80"/>
            </w:tcMar>
          </w:tcPr>
          <w:p>
            <w:r>
              <w:rPr>
                <w:rFonts w:ascii="Arial" w:cs="Arial" w:eastAsia="Arial" w:hAnsi="Arial"/>
                <w:sz w:val="18"/>
                <w:szCs w:val="18"/>
              </w:rPr>
              <w:t xml:space="preserve">Legal / Credit Administration</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27 Aug 2026 06:11</w:t>
            </w:r>
          </w:p>
        </w:tc>
        <w:tc>
          <w:tcPr>
            <w:tcMar>
              <w:top w:type="dxa" w:w="40"/>
              <w:left w:type="dxa" w:w="80"/>
              <w:bottom w:type="dxa" w:w="40"/>
              <w:right w:type="dxa" w:w="80"/>
            </w:tcMar>
          </w:tcPr>
          <w:p>
            <w:r>
              <w:rPr>
                <w:rFonts w:ascii="Arial" w:cs="Arial" w:eastAsia="Arial" w:hAnsi="Arial"/>
                <w:sz w:val="18"/>
                <w:szCs w:val="18"/>
              </w:rPr>
              <w:t xml:space="preserve">pass → Disbursement</w:t>
            </w:r>
          </w:p>
        </w:tc>
      </w:tr>
      <w:tr>
        <w:tc>
          <w:tcPr>
            <w:tcMar>
              <w:top w:type="dxa" w:w="40"/>
              <w:left w:type="dxa" w:w="80"/>
              <w:bottom w:type="dxa" w:w="40"/>
              <w:right w:type="dxa" w:w="80"/>
            </w:tcMar>
          </w:tcPr>
          <w:p>
            <w:r>
              <w:rPr>
                <w:rFonts w:ascii="Arial" w:cs="Arial" w:eastAsia="Arial" w:hAnsi="Arial"/>
                <w:sz w:val="18"/>
                <w:szCs w:val="18"/>
              </w:rPr>
              <w:t xml:space="preserve">Operations</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27 Aug 2026 06:11</w:t>
            </w:r>
          </w:p>
        </w:tc>
        <w:tc>
          <w:tcPr>
            <w:tcMar>
              <w:top w:type="dxa" w:w="40"/>
              <w:left w:type="dxa" w:w="80"/>
              <w:bottom w:type="dxa" w:w="40"/>
              <w:right w:type="dxa" w:w="80"/>
            </w:tcMar>
          </w:tcPr>
          <w:p>
            <w:r>
              <w:rPr>
                <w:rFonts w:ascii="Arial" w:cs="Arial" w:eastAsia="Arial" w:hAnsi="Arial"/>
                <w:sz w:val="18"/>
                <w:szCs w:val="18"/>
              </w:rPr>
              <w:t xml:space="preserve">pass → Monitoring &amp; Renewal</w:t>
            </w:r>
          </w:p>
        </w:tc>
      </w:tr>
    </w:tbl>
    <w:p>
      <w:pPr>
        <w:spacing w:after="60"/>
      </w:pPr>
      <w:r>
        <w:rPr>
          <w:rFonts w:ascii="Arial" w:cs="Arial" w:eastAsia="Arial" w:hAnsi="Arial"/>
          <w:sz w:val="20"/>
          <w:szCs w:val="20"/>
        </w:rPr>
        <w:t xml:space="preserve"/>
      </w:r>
    </w:p>
    <w:p>
      <w:pPr>
        <w:spacing w:after="120"/>
      </w:pPr>
      <w:r>
        <w:rPr>
          <w:rFonts w:ascii="Arial" w:cs="Arial" w:eastAsia="Arial" w:hAnsi="Arial"/>
          <w:b/>
          <w:bCs/>
          <w:sz w:val="20"/>
          <w:szCs w:val="20"/>
        </w:rPr>
        <w:t xml:space="preserve">Approval: Executive Committee</w:t>
      </w:r>
    </w:p>
    <w:p>
      <w:r>
        <w:br w:type="page"/>
      </w:r>
    </w:p>
    <w:p>
      <w:pPr>
        <w:pStyle w:val="Heading1"/>
        <w:spacing w:after="120" w:before="240"/>
      </w:pPr>
      <w:r>
        <w:rPr>
          <w:rFonts w:ascii="Arial" w:cs="Arial" w:eastAsia="Arial" w:hAnsi="Arial"/>
          <w:b/>
          <w:bCs/>
          <w:color w:val="1F3864"/>
          <w:sz w:val="26"/>
          <w:szCs w:val="26"/>
        </w:rPr>
        <w:t xml:space="preserve">Approval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Borrower</w:t>
            </w:r>
          </w:p>
        </w:tc>
        <w:tc>
          <w:tcPr>
            <w:tcW w:type="pct" w:w="70%"/>
            <w:tcMar>
              <w:top w:type="dxa" w:w="40"/>
              <w:left w:type="dxa" w:w="80"/>
              <w:bottom w:type="dxa" w:w="40"/>
              <w:right w:type="dxa" w:w="80"/>
            </w:tcMar>
          </w:tcPr>
          <w:p>
            <w:r>
              <w:rPr>
                <w:rFonts w:ascii="Arial" w:cs="Arial" w:eastAsia="Arial" w:hAnsi="Arial"/>
                <w:sz w:val="18"/>
                <w:szCs w:val="18"/>
              </w:rPr>
              <w:t xml:space="preserve">oussama iqbal</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Risk Rating</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0%"/>
            <w:tcMar>
              <w:top w:type="dxa" w:w="40"/>
              <w:left w:type="dxa" w:w="80"/>
              <w:bottom w:type="dxa" w:w="40"/>
              <w:right w:type="dxa" w:w="80"/>
            </w:tcMar>
          </w:tcPr>
          <w:p>
            <w:r>
              <w:rPr>
                <w:rFonts w:ascii="Arial" w:cs="Arial" w:eastAsia="Arial" w:hAnsi="Arial"/>
                <w:sz w:val="18"/>
                <w:szCs w:val="18"/>
              </w:rPr>
              <w:t xml:space="preserve">—</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gridSpan w:val="2"/>
            <w:shd w:fill="D9D9D9" w:color="auto" w:val="clear"/>
            <w:tcMar>
              <w:top w:type="dxa" w:w="40"/>
              <w:left w:type="dxa" w:w="80"/>
              <w:bottom w:type="dxa" w:w="40"/>
              <w:right w:type="dxa" w:w="80"/>
            </w:tcMar>
          </w:tcPr>
          <w:p>
            <w:r>
              <w:rPr>
                <w:rFonts w:ascii="Arial" w:cs="Arial" w:eastAsia="Arial" w:hAnsi="Arial"/>
                <w:b/>
                <w:bCs/>
                <w:sz w:val="18"/>
                <w:szCs w:val="18"/>
              </w:rPr>
              <w:t xml:space="preserve">Level 2 — Recommenders</w:t>
            </w:r>
          </w:p>
        </w:tc>
      </w:tr>
      <w:tr>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r>
        <w:tc>
          <w:tcPr>
            <w:gridSpan w:val="2"/>
            <w:shd w:fill="D9D9D9" w:color="auto" w:val="clear"/>
            <w:tcMar>
              <w:top w:type="dxa" w:w="40"/>
              <w:left w:type="dxa" w:w="80"/>
              <w:bottom w:type="dxa" w:w="40"/>
              <w:right w:type="dxa" w:w="80"/>
            </w:tcMar>
          </w:tcPr>
          <w:p>
            <w:r>
              <w:rPr>
                <w:rFonts w:ascii="Arial" w:cs="Arial" w:eastAsia="Arial" w:hAnsi="Arial"/>
                <w:b/>
                <w:bCs/>
                <w:sz w:val="18"/>
                <w:szCs w:val="18"/>
              </w:rPr>
              <w:t xml:space="preserve">Level 1 — Approvers</w:t>
            </w:r>
          </w:p>
        </w:tc>
      </w:tr>
      <w:tr>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Committee member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Designation</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Approved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Declined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Comment</w:t>
            </w:r>
          </w:p>
        </w:tc>
      </w:tr>
      <w:tr>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pPr>
              <w:jc w:val="center"/>
            </w:pPr>
            <w:r>
              <w:rPr>
                <w:rFonts w:ascii="Arial" w:cs="Arial" w:eastAsia="Arial" w:hAnsi="Arial"/>
                <w:sz w:val="18"/>
                <w:szCs w:val="18"/>
              </w:rPr>
              <w:t xml:space="preserve"/>
            </w:r>
          </w:p>
        </w:tc>
        <w:tc>
          <w:tcPr>
            <w:tcMar>
              <w:top w:type="dxa" w:w="40"/>
              <w:left w:type="dxa" w:w="80"/>
              <w:bottom w:type="dxa" w:w="40"/>
              <w:right w:type="dxa" w:w="80"/>
            </w:tcMar>
          </w:tcPr>
          <w:p>
            <w:pPr>
              <w:jc w:val="center"/>
            </w:pPr>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b/>
          <w:bCs/>
          <w:sz w:val="20"/>
          <w:szCs w:val="20"/>
        </w:rPr>
        <w:t xml:space="preserve">Decision: approved (27 Aug 2026)</w:t>
      </w:r>
    </w:p>
    <w:p>
      <w:r>
        <w:br w:type="page"/>
      </w:r>
    </w:p>
    <w:p>
      <w:pPr>
        <w:pStyle w:val="Heading1"/>
        <w:spacing w:after="120" w:before="240"/>
      </w:pPr>
      <w:r>
        <w:rPr>
          <w:rFonts w:ascii="Arial" w:cs="Arial" w:eastAsia="Arial" w:hAnsi="Arial"/>
          <w:b/>
          <w:bCs/>
          <w:color w:val="1F3864"/>
          <w:sz w:val="26"/>
          <w:szCs w:val="26"/>
        </w:rPr>
        <w:t xml:space="preserve">Facility Limit Summary</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Group Name</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Relationship Manager</w:t>
            </w:r>
          </w:p>
        </w:tc>
        <w:tc>
          <w:tcPr>
            <w:tcW w:type="pct" w:w="70%"/>
            <w:tcMar>
              <w:top w:type="dxa" w:w="40"/>
              <w:left w:type="dxa" w:w="80"/>
              <w:bottom w:type="dxa" w:w="40"/>
              <w:right w:type="dxa" w:w="80"/>
            </w:tcMar>
          </w:tcPr>
          <w:p>
            <w:r>
              <w:rPr>
                <w:rFonts w:ascii="Arial" w:cs="Arial" w:eastAsia="Arial" w:hAnsi="Arial"/>
                <w:sz w:val="18"/>
                <w:szCs w:val="18"/>
              </w:rPr>
              <w:t xml:space="preserve">Person 1</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Department</w:t>
            </w:r>
          </w:p>
        </w:tc>
        <w:tc>
          <w:tcPr>
            <w:tcW w:type="pct" w:w="70%"/>
            <w:tcMar>
              <w:top w:type="dxa" w:w="40"/>
              <w:left w:type="dxa" w:w="80"/>
              <w:bottom w:type="dxa" w:w="40"/>
              <w:right w:type="dxa" w:w="80"/>
            </w:tcMar>
          </w:tcPr>
          <w:p>
            <w:r>
              <w:rPr>
                <w:rFonts w:ascii="Arial" w:cs="Arial" w:eastAsia="Arial" w:hAnsi="Arial"/>
                <w:sz w:val="18"/>
                <w:szCs w:val="18"/>
              </w:rPr>
              <w:t xml:space="preserve">Private Banking &amp; Wealth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Submitted by</w:t>
            </w:r>
          </w:p>
        </w:tc>
        <w:tc>
          <w:tcPr>
            <w:tcW w:type="pct" w:w="70%"/>
            <w:tcMar>
              <w:top w:type="dxa" w:w="40"/>
              <w:left w:type="dxa" w:w="80"/>
              <w:bottom w:type="dxa" w:w="40"/>
              <w:right w:type="dxa" w:w="80"/>
            </w:tcMar>
          </w:tcPr>
          <w:p>
            <w:r>
              <w:rPr>
                <w:rFonts w:ascii="Arial" w:cs="Arial" w:eastAsia="Arial" w:hAnsi="Arial"/>
                <w:sz w:val="18"/>
                <w:szCs w:val="18"/>
              </w:rPr>
              <w:t xml:space="preserve">Private Banking &amp; Wealth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ROCE %</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Limit % of Capital Base</w:t>
            </w:r>
          </w:p>
        </w:tc>
        <w:tc>
          <w:tcPr>
            <w:tcW w:type="pct" w:w="70%"/>
            <w:tcMar>
              <w:top w:type="dxa" w:w="40"/>
              <w:left w:type="dxa" w:w="80"/>
              <w:bottom w:type="dxa" w:w="40"/>
              <w:right w:type="dxa" w:w="80"/>
            </w:tcMar>
          </w:tcPr>
          <w:p>
            <w:r>
              <w:rPr>
                <w:rFonts w:ascii="Arial" w:cs="Arial" w:eastAsia="Arial" w:hAnsi="Arial"/>
                <w:sz w:val="18"/>
                <w:szCs w:val="18"/>
              </w:rPr>
              <w:t xml:space="preserve">41062.50%</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Borrower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Account No</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RR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Domicile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Industry / Sector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 Type</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oussama iqbal</w:t>
            </w:r>
          </w:p>
        </w:tc>
        <w:tc>
          <w:tcPr>
            <w:tcMar>
              <w:top w:type="dxa" w:w="40"/>
              <w:left w:type="dxa" w:w="80"/>
              <w:bottom w:type="dxa" w:w="40"/>
              <w:right w:type="dxa" w:w="80"/>
            </w:tcMar>
          </w:tcPr>
          <w:p>
            <w:r>
              <w:rPr>
                <w:rFonts w:ascii="Arial" w:cs="Arial" w:eastAsia="Arial" w:hAnsi="Arial"/>
                <w:sz w:val="18"/>
                <w:szCs w:val="18"/>
              </w:rPr>
              <w:t xml:space="preserve">New</w:t>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i/>
          <w:iCs/>
          <w:color w:val="595959"/>
          <w:sz w:val="16"/>
          <w:szCs w:val="16"/>
        </w:rPr>
        <w:t xml:space="preserve">Figures in QAR 000's — USD converted at parity 3.65</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Facility type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Existing</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Proposed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Change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O/s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Pricing</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Collateral</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Demand Loan</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pPr>
              <w:jc w:val="right"/>
            </w:pPr>
            <w:r>
              <w:rPr>
                <w:rFonts w:ascii="Arial" w:cs="Arial" w:eastAsia="Arial" w:hAnsi="Arial"/>
                <w:sz w:val="18"/>
                <w:szCs w:val="18"/>
              </w:rPr>
              <w:t xml:space="preserve">3,285,000,000</w:t>
            </w:r>
          </w:p>
        </w:tc>
        <w:tc>
          <w:tcPr>
            <w:tcMar>
              <w:top w:type="dxa" w:w="40"/>
              <w:left w:type="dxa" w:w="80"/>
              <w:bottom w:type="dxa" w:w="40"/>
              <w:right w:type="dxa" w:w="80"/>
            </w:tcMar>
          </w:tcPr>
          <w:p>
            <w:pPr>
              <w:jc w:val="right"/>
            </w:pPr>
            <w:r>
              <w:rPr>
                <w:rFonts w:ascii="Arial" w:cs="Arial" w:eastAsia="Arial" w:hAnsi="Arial"/>
                <w:sz w:val="18"/>
                <w:szCs w:val="18"/>
              </w:rPr>
              <w:t xml:space="preserve">3,285,000,000</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r>
        <w:tc>
          <w:tcPr>
            <w:gridSpan w:val="3"/>
            <w:shd w:fill="F2F2F2" w:color="auto" w:val="clear"/>
            <w:tcMar>
              <w:top w:type="dxa" w:w="40"/>
              <w:left w:type="dxa" w:w="80"/>
              <w:bottom w:type="dxa" w:w="40"/>
              <w:right w:type="dxa" w:w="80"/>
            </w:tcMar>
          </w:tcPr>
          <w:p>
            <w:r>
              <w:rPr>
                <w:rFonts w:ascii="Arial" w:cs="Arial" w:eastAsia="Arial" w:hAnsi="Arial"/>
                <w:b/>
                <w:bCs/>
                <w:sz w:val="18"/>
                <w:szCs w:val="18"/>
              </w:rPr>
              <w:t xml:space="preserve">SUB-TOTAL</w:t>
            </w:r>
          </w:p>
        </w:tc>
        <w:tc>
          <w:tcPr>
            <w:shd w:fill="F2F2F2" w:color="auto" w:val="clear"/>
            <w:tcMar>
              <w:top w:type="dxa" w:w="40"/>
              <w:left w:type="dxa" w:w="80"/>
              <w:bottom w:type="dxa" w:w="40"/>
              <w:right w:type="dxa" w:w="80"/>
            </w:tcMar>
          </w:tcPr>
          <w:p>
            <w:pPr>
              <w:jc w:val="right"/>
            </w:pPr>
            <w:r>
              <w:rPr>
                <w:rFonts w:ascii="Arial" w:cs="Arial" w:eastAsia="Arial" w:hAnsi="Arial"/>
                <w:b/>
                <w:bCs/>
                <w:sz w:val="18"/>
                <w:szCs w:val="18"/>
              </w:rPr>
              <w:t xml:space="preserve">3,285,000,000</w:t>
            </w:r>
          </w:p>
        </w:tc>
        <w:tc>
          <w:tcPr>
            <w:gridSpan w:val="2"/>
            <w:shd w:fill="F2F2F2" w:color="auto" w:val="clear"/>
            <w:tcMar>
              <w:top w:type="dxa" w:w="40"/>
              <w:left w:type="dxa" w:w="80"/>
              <w:bottom w:type="dxa" w:w="40"/>
              <w:right w:type="dxa" w:w="80"/>
            </w:tcMar>
          </w:tcPr>
          <w:p>
            <w:r>
              <w:rPr>
                <w:rFonts w:ascii="Arial" w:cs="Arial" w:eastAsia="Arial" w:hAnsi="Arial"/>
                <w:sz w:val="18"/>
                <w:szCs w:val="18"/>
              </w:rPr>
              <w:t xml:space="preserve">Limit expiry: —</w:t>
            </w:r>
          </w:p>
        </w:tc>
        <w:tc>
          <w:tcPr>
            <w:gridSpan w:val="2"/>
            <w:shd w:fill="F2F2F2" w:color="auto" w:val="clear"/>
            <w:tcMar>
              <w:top w:type="dxa" w:w="40"/>
              <w:left w:type="dxa" w:w="80"/>
              <w:bottom w:type="dxa" w:w="40"/>
              <w:right w:type="dxa" w:w="80"/>
            </w:tcMar>
          </w:tcPr>
          <w:p>
            <w:r>
              <w:rPr>
                <w:rFonts w:ascii="Arial" w:cs="Arial" w:eastAsia="Arial" w:hAnsi="Arial"/>
                <w:sz w:val="18"/>
                <w:szCs w:val="18"/>
              </w:rPr>
              <w:t xml:space="preserve">Large Exposure: Y   Related Director: N</w:t>
            </w:r>
          </w:p>
        </w:tc>
      </w:tr>
      <w:tr>
        <w:tc>
          <w:tcPr>
            <w:gridSpan w:val="3"/>
            <w:tcMar>
              <w:top w:type="dxa" w:w="40"/>
              <w:left w:type="dxa" w:w="80"/>
              <w:bottom w:type="dxa" w:w="40"/>
              <w:right w:type="dxa" w:w="80"/>
            </w:tcMar>
          </w:tcPr>
          <w:p>
            <w:r>
              <w:rPr>
                <w:rFonts w:ascii="Arial" w:cs="Arial" w:eastAsia="Arial" w:hAnsi="Arial"/>
                <w:b/>
                <w:bCs/>
                <w:sz w:val="18"/>
                <w:szCs w:val="18"/>
              </w:rPr>
              <w:t xml:space="preserve">RELATED EXPOSURE</w:t>
            </w:r>
          </w:p>
        </w:tc>
        <w:tc>
          <w:tcPr>
            <w:tcMar>
              <w:top w:type="dxa" w:w="40"/>
              <w:left w:type="dxa" w:w="80"/>
              <w:bottom w:type="dxa" w:w="40"/>
              <w:right w:type="dxa" w:w="80"/>
            </w:tcMar>
          </w:tcPr>
          <w:p>
            <w:pPr>
              <w:jc w:val="right"/>
            </w:pPr>
            <w:r>
              <w:rPr>
                <w:rFonts w:ascii="Arial" w:cs="Arial" w:eastAsia="Arial" w:hAnsi="Arial"/>
                <w:sz w:val="18"/>
                <w:szCs w:val="18"/>
              </w:rPr>
              <w:t xml:space="preserve">NIL</w:t>
            </w:r>
          </w:p>
        </w:tc>
        <w:tc>
          <w:tcPr>
            <w:gridSpan w:val="4"/>
            <w:tcMar>
              <w:top w:type="dxa" w:w="40"/>
              <w:left w:type="dxa" w:w="80"/>
              <w:bottom w:type="dxa" w:w="40"/>
              <w:right w:type="dxa" w:w="80"/>
            </w:tcMar>
          </w:tcPr>
          <w:p>
            <w:r>
              <w:rPr>
                <w:rFonts w:ascii="Arial" w:cs="Arial" w:eastAsia="Arial" w:hAnsi="Arial"/>
                <w:sz w:val="18"/>
                <w:szCs w:val="18"/>
              </w:rPr>
              <w:t xml:space="preserve"/>
            </w:r>
          </w:p>
        </w:tc>
      </w:tr>
      <w:tr>
        <w:tc>
          <w:tcPr>
            <w:gridSpan w:val="3"/>
            <w:shd w:fill="D9D9D9" w:color="auto" w:val="clear"/>
            <w:tcMar>
              <w:top w:type="dxa" w:w="40"/>
              <w:left w:type="dxa" w:w="80"/>
              <w:bottom w:type="dxa" w:w="40"/>
              <w:right w:type="dxa" w:w="80"/>
            </w:tcMar>
          </w:tcPr>
          <w:p>
            <w:r>
              <w:rPr>
                <w:rFonts w:ascii="Arial" w:cs="Arial" w:eastAsia="Arial" w:hAnsi="Arial"/>
                <w:b/>
                <w:bCs/>
                <w:sz w:val="18"/>
                <w:szCs w:val="18"/>
              </w:rPr>
              <w:t xml:space="preserve">GRAND TOTAL</w:t>
            </w:r>
          </w:p>
        </w:tc>
        <w:tc>
          <w:tcPr>
            <w:shd w:fill="D9D9D9" w:color="auto" w:val="clear"/>
            <w:tcMar>
              <w:top w:type="dxa" w:w="40"/>
              <w:left w:type="dxa" w:w="80"/>
              <w:bottom w:type="dxa" w:w="40"/>
              <w:right w:type="dxa" w:w="80"/>
            </w:tcMar>
          </w:tcPr>
          <w:p>
            <w:pPr>
              <w:jc w:val="right"/>
            </w:pPr>
            <w:r>
              <w:rPr>
                <w:rFonts w:ascii="Arial" w:cs="Arial" w:eastAsia="Arial" w:hAnsi="Arial"/>
                <w:b/>
                <w:bCs/>
                <w:sz w:val="18"/>
                <w:szCs w:val="18"/>
              </w:rPr>
              <w:t xml:space="preserve">3,285,000,000</w:t>
            </w:r>
          </w:p>
        </w:tc>
        <w:tc>
          <w:tcPr>
            <w:gridSpan w:val="4"/>
            <w:shd w:fill="D9D9D9" w:color="auto" w:val="clea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sz w:val="20"/>
          <w:szCs w:val="20"/>
        </w:rPr>
        <w:t xml:space="preserve"/>
      </w:r>
    </w:p>
    <w:p>
      <w:pPr>
        <w:spacing w:after="120"/>
      </w:pPr>
      <w:r>
        <w:rPr>
          <w:rFonts w:ascii="Arial" w:cs="Arial" w:eastAsia="Arial" w:hAnsi="Arial"/>
          <w:b/>
          <w:bCs/>
          <w:sz w:val="20"/>
          <w:szCs w:val="20"/>
        </w:rPr>
        <w:t xml:space="preserve">Business Unit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c>
          <w:tcPr>
            <w:tcMar>
              <w:top w:type="dxa" w:w="40"/>
              <w:left w:type="dxa" w:w="80"/>
              <w:bottom w:type="dxa" w:w="40"/>
              <w:right w:type="dxa" w:w="80"/>
            </w:tcMar>
          </w:tcPr>
          <w:p>
            <w:r>
              <w:rPr>
                <w:rFonts w:ascii="Arial" w:cs="Arial" w:eastAsia="Arial" w:hAnsi="Arial"/>
                <w:b/>
                <w:bCs/>
                <w:sz w:val="18"/>
                <w:szCs w:val="18"/>
              </w:rPr>
              <w:t xml:space="preserve">Prepared by</w:t>
            </w:r>
          </w:p>
          <w:p>
            <w:r>
              <w:rPr>
                <w:rFonts w:ascii="Arial" w:cs="Arial" w:eastAsia="Arial" w:hAnsi="Arial"/>
                <w:sz w:val="18"/>
                <w:szCs w:val="18"/>
              </w:rPr>
              <w:t xml:space="preserve">Person 1</w:t>
            </w:r>
          </w:p>
          <w:p>
            <w:r>
              <w:rPr>
                <w:rFonts w:ascii="Arial" w:cs="Arial" w:eastAsia="Arial" w:hAnsi="Arial"/>
                <w:color w:val="595959"/>
                <w:sz w:val="16"/>
                <w:szCs w:val="16"/>
              </w:rPr>
              <w:t xml:space="preserve">Relationship Manager</w:t>
            </w:r>
          </w:p>
          <w:p>
            <w:r>
              <w:rPr>
                <w:rFonts w:ascii="Arial" w:cs="Arial" w:eastAsia="Arial" w:hAnsi="Arial"/>
                <w:i/>
                <w:iCs/>
                <w:color w:val="595959"/>
                <w:sz w:val="14"/>
                <w:szCs w:val="14"/>
              </w:rPr>
              <w:t xml:space="preserve">e-signed 27 Aug 2026 06:08</w:t>
            </w:r>
          </w:p>
        </w:tc>
        <w:tc>
          <w:tcPr>
            <w:tcMar>
              <w:top w:type="dxa" w:w="40"/>
              <w:left w:type="dxa" w:w="80"/>
              <w:bottom w:type="dxa" w:w="40"/>
              <w:right w:type="dxa" w:w="80"/>
            </w:tcMar>
          </w:tcPr>
          <w:p>
            <w:r>
              <w:rPr>
                <w:rFonts w:ascii="Arial" w:cs="Arial" w:eastAsia="Arial" w:hAnsi="Arial"/>
                <w:b/>
                <w:bCs/>
                <w:sz w:val="18"/>
                <w:szCs w:val="18"/>
              </w:rPr>
              <w:t xml:space="preserve">Recommended by</w:t>
            </w:r>
          </w:p>
          <w:p>
            <w:r>
              <w:rPr>
                <w:rFonts w:ascii="Arial" w:cs="Arial" w:eastAsia="Arial" w:hAnsi="Arial"/>
                <w:sz w:val="18"/>
                <w:szCs w:val="18"/>
              </w:rPr>
              <w:t xml:space="preserve">Person 1</w:t>
            </w:r>
          </w:p>
          <w:p>
            <w:r>
              <w:rPr>
                <w:rFonts w:ascii="Arial" w:cs="Arial" w:eastAsia="Arial" w:hAnsi="Arial"/>
                <w:color w:val="595959"/>
                <w:sz w:val="16"/>
                <w:szCs w:val="16"/>
              </w:rPr>
              <w:t xml:space="preserve">Relationship Manager</w:t>
            </w:r>
          </w:p>
          <w:p>
            <w:r>
              <w:rPr>
                <w:rFonts w:ascii="Arial" w:cs="Arial" w:eastAsia="Arial" w:hAnsi="Arial"/>
                <w:i/>
                <w:iCs/>
                <w:color w:val="595959"/>
                <w:sz w:val="14"/>
                <w:szCs w:val="14"/>
              </w:rPr>
              <w:t xml:space="preserve">e-signed 27 Aug 2026 06:08</w:t>
            </w:r>
          </w:p>
        </w:tc>
        <w:tc>
          <w:tcPr>
            <w:tcMar>
              <w:top w:type="dxa" w:w="40"/>
              <w:left w:type="dxa" w:w="80"/>
              <w:bottom w:type="dxa" w:w="40"/>
              <w:right w:type="dxa" w:w="80"/>
            </w:tcMar>
          </w:tcPr>
          <w:p>
            <w:r>
              <w:rPr>
                <w:rFonts w:ascii="Arial" w:cs="Arial" w:eastAsia="Arial" w:hAnsi="Arial"/>
                <w:b/>
                <w:bCs/>
                <w:sz w:val="18"/>
                <w:szCs w:val="18"/>
              </w:rPr>
              <w:t xml:space="preserve">Concurred by</w:t>
            </w:r>
          </w:p>
          <w:p>
            <w:r>
              <w:rPr>
                <w:rFonts w:ascii="Arial" w:cs="Arial" w:eastAsia="Arial" w:hAnsi="Arial"/>
                <w:sz w:val="18"/>
                <w:szCs w:val="18"/>
              </w:rPr>
              <w:t xml:space="preserve">Person 1</w:t>
            </w:r>
          </w:p>
          <w:p>
            <w:r>
              <w:rPr>
                <w:rFonts w:ascii="Arial" w:cs="Arial" w:eastAsia="Arial" w:hAnsi="Arial"/>
                <w:color w:val="595959"/>
                <w:sz w:val="16"/>
                <w:szCs w:val="16"/>
              </w:rPr>
              <w:t xml:space="preserve">Relationship Manager</w:t>
            </w:r>
          </w:p>
          <w:p>
            <w:r>
              <w:rPr>
                <w:rFonts w:ascii="Arial" w:cs="Arial" w:eastAsia="Arial" w:hAnsi="Arial"/>
                <w:i/>
                <w:iCs/>
                <w:color w:val="595959"/>
                <w:sz w:val="14"/>
                <w:szCs w:val="14"/>
              </w:rPr>
              <w:t xml:space="preserve">e-signed 27 Aug 2026 06:08</w:t>
            </w:r>
          </w:p>
        </w:tc>
      </w:tr>
    </w:tbl>
    <w:p>
      <w:pPr>
        <w:spacing w:after="120"/>
      </w:pPr>
      <w:r>
        <w:rPr>
          <w:rFonts w:ascii="Arial" w:cs="Arial" w:eastAsia="Arial" w:hAnsi="Arial"/>
          <w:sz w:val="20"/>
          <w:szCs w:val="20"/>
        </w:rPr>
        <w:t xml:space="preserve"/>
      </w:r>
    </w:p>
    <w:p>
      <w:pPr>
        <w:spacing w:after="120"/>
      </w:pPr>
      <w:r>
        <w:rPr>
          <w:rFonts w:ascii="Arial" w:cs="Arial" w:eastAsia="Arial" w:hAnsi="Arial"/>
          <w:b/>
          <w:bCs/>
          <w:sz w:val="20"/>
          <w:szCs w:val="20"/>
        </w:rPr>
        <w:t xml:space="preserve">Risk Management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Mar>
              <w:top w:type="dxa" w:w="40"/>
              <w:left w:type="dxa" w:w="80"/>
              <w:bottom w:type="dxa" w:w="40"/>
              <w:right w:type="dxa" w:w="80"/>
            </w:tcMar>
          </w:tcPr>
          <w:p>
            <w:r>
              <w:rPr>
                <w:rFonts w:ascii="Arial" w:cs="Arial" w:eastAsia="Arial" w:hAnsi="Arial"/>
                <w:b/>
                <w:bCs/>
                <w:sz w:val="18"/>
                <w:szCs w:val="18"/>
              </w:rPr>
              <w:t xml:space="preserve">Reviewed by</w:t>
            </w:r>
          </w:p>
          <w:p>
            <w:r>
              <w:rPr>
                <w:rFonts w:ascii="Arial" w:cs="Arial" w:eastAsia="Arial" w:hAnsi="Arial"/>
                <w:sz w:val="18"/>
                <w:szCs w:val="18"/>
              </w:rPr>
              <w:t xml:space="preserve"/>
            </w:r>
          </w:p>
          <w:p>
            <w:r>
              <w:rPr>
                <w:rFonts w:ascii="Arial" w:cs="Arial" w:eastAsia="Arial" w:hAnsi="Arial"/>
                <w:color w:val="595959"/>
                <w:sz w:val="16"/>
                <w:szCs w:val="16"/>
              </w:rPr>
              <w:t xml:space="preserve"/>
            </w:r>
          </w:p>
          <w:p>
            <w:r>
              <w:rPr>
                <w:rFonts w:ascii="Arial" w:cs="Arial" w:eastAsia="Arial" w:hAnsi="Arial"/>
                <w:i/>
                <w:iCs/>
                <w:color w:val="595959"/>
                <w:sz w:val="14"/>
                <w:szCs w:val="14"/>
              </w:rPr>
              <w:t xml:space="preserve"/>
            </w:r>
          </w:p>
        </w:tc>
        <w:tc>
          <w:tcPr>
            <w:tcMar>
              <w:top w:type="dxa" w:w="40"/>
              <w:left w:type="dxa" w:w="80"/>
              <w:bottom w:type="dxa" w:w="40"/>
              <w:right w:type="dxa" w:w="80"/>
            </w:tcMar>
          </w:tcPr>
          <w:p>
            <w:r>
              <w:rPr>
                <w:rFonts w:ascii="Arial" w:cs="Arial" w:eastAsia="Arial" w:hAnsi="Arial"/>
                <w:b/>
                <w:bCs/>
                <w:sz w:val="18"/>
                <w:szCs w:val="18"/>
              </w:rPr>
              <w:t xml:space="preserve">Concurred by</w:t>
            </w:r>
          </w:p>
          <w:p>
            <w:r>
              <w:rPr>
                <w:rFonts w:ascii="Arial" w:cs="Arial" w:eastAsia="Arial" w:hAnsi="Arial"/>
                <w:sz w:val="18"/>
                <w:szCs w:val="18"/>
              </w:rPr>
              <w:t xml:space="preserve"/>
            </w:r>
          </w:p>
          <w:p>
            <w:r>
              <w:rPr>
                <w:rFonts w:ascii="Arial" w:cs="Arial" w:eastAsia="Arial" w:hAnsi="Arial"/>
                <w:color w:val="595959"/>
                <w:sz w:val="16"/>
                <w:szCs w:val="16"/>
              </w:rPr>
              <w:t xml:space="preserve"/>
            </w:r>
          </w:p>
          <w:p>
            <w:r>
              <w:rPr>
                <w:rFonts w:ascii="Arial" w:cs="Arial" w:eastAsia="Arial" w:hAnsi="Arial"/>
                <w:i/>
                <w:iCs/>
                <w:color w:val="595959"/>
                <w:sz w:val="14"/>
                <w:szCs w:val="14"/>
              </w:rPr>
              <w:t xml:space="preserve"/>
            </w:r>
          </w:p>
        </w:tc>
      </w:tr>
      <w:tr>
        <w:tc>
          <w:tcPr>
            <w:gridSpan w:val="2"/>
            <w:tcMar>
              <w:top w:type="dxa" w:w="40"/>
              <w:left w:type="dxa" w:w="80"/>
              <w:bottom w:type="dxa" w:w="40"/>
              <w:right w:type="dxa" w:w="80"/>
            </w:tcMar>
          </w:tcPr>
          <w:p>
            <w:r>
              <w:rPr>
                <w:rFonts w:ascii="Arial" w:cs="Arial" w:eastAsia="Arial" w:hAnsi="Arial"/>
                <w:b/>
                <w:bCs/>
                <w:sz w:val="18"/>
                <w:szCs w:val="18"/>
              </w:rPr>
              <w:t xml:space="preserve">Condition(s) for Approval:</w:t>
            </w:r>
          </w:p>
        </w:tc>
      </w:tr>
    </w:tbl>
    <w:p>
      <w:r>
        <w:br w:type="page"/>
      </w:r>
    </w:p>
    <w:p>
      <w:pPr>
        <w:pStyle w:val="Heading1"/>
        <w:spacing w:after="120" w:before="240"/>
      </w:pPr>
      <w:r>
        <w:rPr>
          <w:rFonts w:ascii="Arial" w:cs="Arial" w:eastAsia="Arial" w:hAnsi="Arial"/>
          <w:b/>
          <w:bCs/>
          <w:color w:val="1F3864"/>
          <w:sz w:val="26"/>
          <w:szCs w:val="26"/>
        </w:rPr>
        <w:t xml:space="preserve">I. Nature of Request</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applicant has requested a Demand Loan of USD 900,000,000K, equivalent to QAR 3,285,000,000K at the stated parity of 3.65. The proposed facility is shown as new, with no existing or outstanding exposure recorded. (Source: application form)</w:t>
      </w:r>
    </w:p>
    <w:p>
      <w:pPr>
        <w:spacing w:after="120"/>
        <w:jc w:val="both"/>
      </w:pPr>
      <w:r>
        <w:rPr>
          <w:rFonts w:ascii="Arial" w:cs="Arial" w:eastAsia="Arial" w:hAnsi="Arial"/>
          <w:sz w:val="20"/>
          <w:szCs w:val="20"/>
        </w:rPr>
        <w:t xml:space="preserve">The facility tenor and availability period have not been specified. The stated purpose is also blank. Pricing, including the applicable margin, maximum all-in rate, commitment fee, management fee and prepayment fee, remains to be confirmed. (Source: application form)</w:t>
      </w:r>
    </w:p>
    <w:p>
      <w:pPr>
        <w:spacing w:after="120"/>
        <w:jc w:val="both"/>
      </w:pPr>
      <w:r>
        <w:rPr>
          <w:rFonts w:ascii="Arial" w:cs="Arial" w:eastAsia="Arial" w:hAnsi="Arial"/>
          <w:sz w:val="20"/>
          <w:szCs w:val="20"/>
        </w:rPr>
        <w:t xml:space="preserve">No LTV cap, top-up trigger, liquidation trigger or security coverage has been provided. Collateral documentation is not available in the submission. (Source: application form; Source: fact pack, Red flags — Missing: Collateral documentation)</w:t>
      </w:r>
    </w:p>
    <w:p>
      <w:pPr>
        <w:spacing w:after="120"/>
        <w:jc w:val="both"/>
      </w:pPr>
      <w:r>
        <w:rPr>
          <w:rFonts w:ascii="Arial" w:cs="Arial" w:eastAsia="Arial" w:hAnsi="Arial"/>
          <w:sz w:val="20"/>
          <w:szCs w:val="20"/>
        </w:rPr>
        <w:t xml:space="preserve">The proposed governing law is Qatari Law, while the refinance carve-out has not been specified. The proposed and final risk ratings are also outstanding. (Source: application form)</w:t>
      </w:r>
    </w:p>
    <w:p>
      <w:pPr>
        <w:spacing w:after="120"/>
        <w:jc w:val="both"/>
      </w:pPr>
      <w:r>
        <w:rPr>
          <w:rFonts w:ascii="Arial" w:cs="Arial" w:eastAsia="Arial" w:hAnsi="Arial"/>
          <w:sz w:val="20"/>
          <w:szCs w:val="20"/>
        </w:rPr>
        <w:t xml:space="preserve">Before the request can be fully assessed for the Committee’s decision, the following are required: completed purpose and repayment rationale; confirmed tenor and availability; detailed pricing and fees; defined security package and enforceability evidence; and satisfactory KYC, constitutional, financial statement, credit bureau and collateral documentation. No KYC or constitutional documents, audited financial statements/management accounts, or QCB/Credit Bureau reports have been uploaded. (Source: fact pack, Red flags — Missing: Financial statements; Missing: QCB / Credit Bureau reports; Missing: KYC &amp; constitutional documents; Missing: Collateral documentation)</w:t>
      </w:r>
    </w:p>
    <w:p>
      <w:pPr>
        <w:pStyle w:val="Heading2"/>
        <w:spacing w:after="120" w:before="240"/>
      </w:pPr>
      <w:r>
        <w:rPr>
          <w:rFonts w:ascii="Arial" w:cs="Arial" w:eastAsia="Arial" w:hAnsi="Arial"/>
          <w:b/>
          <w:bCs/>
          <w:color w:val="1F3864"/>
          <w:sz w:val="22"/>
          <w:szCs w:val="22"/>
        </w:rPr>
        <w:t xml:space="preserve">Brief Details of Borrower</w:t>
      </w:r>
    </w:p>
    <w:p>
      <w:pPr>
        <w:spacing w:after="120"/>
      </w:pPr>
      <w:r>
        <w:rPr>
          <w:rFonts w:ascii="Arial" w:cs="Arial" w:eastAsia="Arial" w:hAnsi="Arial"/>
          <w:i/>
          <w:iCs/>
          <w:color w:val="808080"/>
          <w:sz w:val="20"/>
          <w:szCs w:val="20"/>
        </w:rPr>
        <w:t xml:space="preserve">[Section not yet drafted]</w:t>
      </w:r>
    </w:p>
    <w:p>
      <w:pPr>
        <w:pStyle w:val="Heading2"/>
        <w:spacing w:after="120" w:before="240"/>
      </w:pPr>
      <w:r>
        <w:rPr>
          <w:rFonts w:ascii="Arial" w:cs="Arial" w:eastAsia="Arial" w:hAnsi="Arial"/>
          <w:b/>
          <w:bCs/>
          <w:color w:val="1F3864"/>
          <w:sz w:val="22"/>
          <w:szCs w:val="22"/>
        </w:rPr>
        <w:t xml:space="preserve">Brief Details of Guarantor</w:t>
      </w:r>
    </w:p>
    <w:p>
      <w:pPr>
        <w:spacing w:after="120"/>
      </w:pPr>
      <w:r>
        <w:rPr>
          <w:rFonts w:ascii="Arial" w:cs="Arial" w:eastAsia="Arial" w:hAnsi="Arial"/>
          <w:i/>
          <w:iCs/>
          <w:color w:val="808080"/>
          <w:sz w:val="20"/>
          <w:szCs w:val="20"/>
        </w:rPr>
        <w:t xml:space="preserve">[Section not yet drafted]</w:t>
      </w:r>
    </w:p>
    <w:p>
      <w:pPr>
        <w:pStyle w:val="Heading2"/>
        <w:spacing w:after="120" w:before="240"/>
      </w:pPr>
      <w:r>
        <w:rPr>
          <w:rFonts w:ascii="Arial" w:cs="Arial" w:eastAsia="Arial" w:hAnsi="Arial"/>
          <w:b/>
          <w:bCs/>
          <w:color w:val="1F3864"/>
          <w:sz w:val="22"/>
          <w:szCs w:val="22"/>
        </w:rPr>
        <w:t xml:space="preserve">Overview of the Transaction</w:t>
      </w:r>
    </w:p>
    <w:p>
      <w:pPr>
        <w:spacing w:after="120"/>
      </w:pPr>
      <w:r>
        <w:rPr>
          <w:rFonts w:ascii="Arial" w:cs="Arial" w:eastAsia="Arial" w:hAnsi="Arial"/>
          <w:i/>
          <w:iCs/>
          <w:color w:val="808080"/>
          <w:sz w:val="20"/>
          <w:szCs w:val="20"/>
        </w:rPr>
        <w:t xml:space="preserve">[Section not yet drafted]</w:t>
      </w:r>
    </w:p>
    <w:p>
      <w:pPr>
        <w:pStyle w:val="Heading2"/>
        <w:spacing w:after="120" w:before="240"/>
      </w:pPr>
      <w:r>
        <w:rPr>
          <w:rFonts w:ascii="Arial" w:cs="Arial" w:eastAsia="Arial" w:hAnsi="Arial"/>
          <w:b/>
          <w:bCs/>
          <w:color w:val="1F3864"/>
          <w:sz w:val="22"/>
          <w:szCs w:val="22"/>
        </w:rPr>
        <w:t xml:space="preserve">Modus Operandi</w:t>
      </w:r>
    </w:p>
    <w:p>
      <w:pPr>
        <w:spacing w:after="120"/>
      </w:pPr>
      <w:r>
        <w:rPr>
          <w:rFonts w:ascii="Arial" w:cs="Arial" w:eastAsia="Arial" w:hAnsi="Arial"/>
          <w:i/>
          <w:iCs/>
          <w:color w:val="808080"/>
          <w:sz w:val="20"/>
          <w:szCs w:val="20"/>
        </w:rPr>
        <w:t xml:space="preserve">[Section not yet drafted]</w:t>
      </w:r>
    </w:p>
    <w:p>
      <w:pPr>
        <w:pStyle w:val="Heading1"/>
        <w:spacing w:after="120" w:before="240"/>
      </w:pPr>
      <w:r>
        <w:rPr>
          <w:rFonts w:ascii="Arial" w:cs="Arial" w:eastAsia="Arial" w:hAnsi="Arial"/>
          <w:b/>
          <w:bCs/>
          <w:color w:val="1F3864"/>
          <w:sz w:val="26"/>
          <w:szCs w:val="26"/>
        </w:rPr>
        <w:t xml:space="preserve">II. Terms Sheet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Facility Type</w:t>
            </w:r>
          </w:p>
        </w:tc>
        <w:tc>
          <w:tcPr>
            <w:tcW w:type="pct" w:w="75%"/>
            <w:tcMar>
              <w:top w:type="dxa" w:w="40"/>
              <w:left w:type="dxa" w:w="80"/>
              <w:bottom w:type="dxa" w:w="40"/>
              <w:right w:type="dxa" w:w="80"/>
            </w:tcMar>
          </w:tcPr>
          <w:p>
            <w:r>
              <w:rPr>
                <w:rFonts w:ascii="Arial" w:cs="Arial" w:eastAsia="Arial" w:hAnsi="Arial"/>
                <w:sz w:val="18"/>
                <w:szCs w:val="18"/>
              </w:rPr>
              <w:t xml:space="preserve">Demand Loan</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Facility Amount</w:t>
            </w:r>
          </w:p>
        </w:tc>
        <w:tc>
          <w:tcPr>
            <w:tcW w:type="pct" w:w="75%"/>
            <w:tcMar>
              <w:top w:type="dxa" w:w="40"/>
              <w:left w:type="dxa" w:w="80"/>
              <w:bottom w:type="dxa" w:w="40"/>
              <w:right w:type="dxa" w:w="80"/>
            </w:tcMar>
          </w:tcPr>
          <w:p>
            <w:r>
              <w:rPr>
                <w:rFonts w:ascii="Arial" w:cs="Arial" w:eastAsia="Arial" w:hAnsi="Arial"/>
                <w:sz w:val="18"/>
                <w:szCs w:val="18"/>
              </w:rPr>
              <w:t xml:space="preserve">USD 900,000.0 MM (QAR 3,285,000,000K)</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5%"/>
            <w:tcMar>
              <w:top w:type="dxa" w:w="40"/>
              <w:left w:type="dxa" w:w="80"/>
              <w:bottom w:type="dxa" w:w="40"/>
              <w:right w:type="dxa" w:w="80"/>
            </w:tcMar>
          </w:tcPr>
          <w:p>
            <w:r>
              <w:rPr>
                <w:rFonts w:ascii="Arial" w:cs="Arial" w:eastAsia="Arial" w:hAnsi="Arial"/>
                <w:sz w:val="18"/>
                <w:szCs w:val="18"/>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Interest Rate</w:t>
            </w:r>
          </w:p>
        </w:tc>
        <w:tc>
          <w:tcPr>
            <w:tcW w:type="pct" w:w="75%"/>
            <w:tcMar>
              <w:top w:type="dxa" w:w="40"/>
              <w:left w:type="dxa" w:w="80"/>
              <w:bottom w:type="dxa" w:w="40"/>
              <w:right w:type="dxa" w:w="80"/>
            </w:tcMar>
          </w:tcPr>
          <w:p>
            <w:r>
              <w:rPr>
                <w:rFonts w:ascii="Arial" w:cs="Arial" w:eastAsia="Arial" w:hAnsi="Arial"/>
                <w:sz w:val="18"/>
                <w:szCs w:val="18"/>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Management Fee</w:t>
            </w:r>
          </w:p>
        </w:tc>
        <w:tc>
          <w:tcPr>
            <w:tcW w:type="pct" w:w="75%"/>
            <w:tcMar>
              <w:top w:type="dxa" w:w="40"/>
              <w:left w:type="dxa" w:w="80"/>
              <w:bottom w:type="dxa" w:w="40"/>
              <w:right w:type="dxa" w:w="80"/>
            </w:tcMar>
          </w:tcPr>
          <w:p>
            <w:r>
              <w:rPr>
                <w:rFonts w:ascii="Arial" w:cs="Arial" w:eastAsia="Arial" w:hAnsi="Arial"/>
                <w:sz w:val="18"/>
                <w:szCs w:val="18"/>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Commitment Fee</w:t>
            </w:r>
          </w:p>
        </w:tc>
        <w:tc>
          <w:tcPr>
            <w:tcW w:type="pct" w:w="75%"/>
            <w:tcMar>
              <w:top w:type="dxa" w:w="40"/>
              <w:left w:type="dxa" w:w="80"/>
              <w:bottom w:type="dxa" w:w="40"/>
              <w:right w:type="dxa" w:w="80"/>
            </w:tcMar>
          </w:tcPr>
          <w:p>
            <w:r>
              <w:rPr>
                <w:rFonts w:ascii="Arial" w:cs="Arial" w:eastAsia="Arial" w:hAnsi="Arial"/>
                <w:sz w:val="18"/>
                <w:szCs w:val="18"/>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Prepayment Fee</w:t>
            </w:r>
          </w:p>
        </w:tc>
        <w:tc>
          <w:tcPr>
            <w:tcW w:type="pct" w:w="75%"/>
            <w:tcMar>
              <w:top w:type="dxa" w:w="40"/>
              <w:left w:type="dxa" w:w="80"/>
              <w:bottom w:type="dxa" w:w="40"/>
              <w:right w:type="dxa" w:w="80"/>
            </w:tcMar>
          </w:tcPr>
          <w:p>
            <w:r>
              <w:rPr>
                <w:rFonts w:ascii="Arial" w:cs="Arial" w:eastAsia="Arial" w:hAnsi="Arial"/>
                <w:sz w:val="18"/>
                <w:szCs w:val="18"/>
              </w:rPr>
              <w:t xml:space="preserve">Nil</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Tenor</w:t>
            </w:r>
          </w:p>
        </w:tc>
        <w:tc>
          <w:tcPr>
            <w:tcW w:type="pct" w:w="75%"/>
            <w:tcMar>
              <w:top w:type="dxa" w:w="40"/>
              <w:left w:type="dxa" w:w="80"/>
              <w:bottom w:type="dxa" w:w="40"/>
              <w:right w:type="dxa" w:w="80"/>
            </w:tcMar>
          </w:tcPr>
          <w:p>
            <w:r>
              <w:rPr>
                <w:rFonts w:ascii="Arial" w:cs="Arial" w:eastAsia="Arial" w:hAnsi="Arial"/>
                <w:sz w:val="18"/>
                <w:szCs w:val="18"/>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Disbursement</w:t>
            </w:r>
          </w:p>
        </w:tc>
        <w:tc>
          <w:tcPr>
            <w:tcW w:type="pct" w:w="75%"/>
            <w:tcMar>
              <w:top w:type="dxa" w:w="40"/>
              <w:left w:type="dxa" w:w="80"/>
              <w:bottom w:type="dxa" w:w="40"/>
              <w:right w:type="dxa" w:w="80"/>
            </w:tcMar>
          </w:tcPr>
          <w:p>
            <w:pPr>
              <w:spacing w:after="120"/>
            </w:pPr>
            <w:r>
              <w:rPr>
                <w:rFonts w:ascii="Arial" w:cs="Arial" w:eastAsia="Arial" w:hAnsi="Arial"/>
                <w:sz w:val="20"/>
                <w:szCs w:val="20"/>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Repayment</w:t>
            </w:r>
          </w:p>
        </w:tc>
        <w:tc>
          <w:tcPr>
            <w:tcW w:type="pct" w:w="75%"/>
            <w:tcMar>
              <w:top w:type="dxa" w:w="40"/>
              <w:left w:type="dxa" w:w="80"/>
              <w:bottom w:type="dxa" w:w="40"/>
              <w:right w:type="dxa" w:w="80"/>
            </w:tcMar>
          </w:tcPr>
          <w:p>
            <w:pPr>
              <w:spacing w:after="120"/>
            </w:pPr>
            <w:r>
              <w:rPr>
                <w:rFonts w:ascii="Arial" w:cs="Arial" w:eastAsia="Arial" w:hAnsi="Arial"/>
                <w:sz w:val="20"/>
                <w:szCs w:val="20"/>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Security / Support</w:t>
            </w:r>
          </w:p>
        </w:tc>
        <w:tc>
          <w:tcPr>
            <w:tcW w:type="pct" w:w="75%"/>
            <w:tcMar>
              <w:top w:type="dxa" w:w="40"/>
              <w:left w:type="dxa" w:w="80"/>
              <w:bottom w:type="dxa" w:w="40"/>
              <w:right w:type="dxa" w:w="80"/>
            </w:tcMar>
          </w:tcPr>
          <w:p>
            <w:pPr>
              <w:spacing w:after="120"/>
            </w:pPr>
            <w:r>
              <w:rPr>
                <w:rFonts w:ascii="Arial" w:cs="Arial" w:eastAsia="Arial" w:hAnsi="Arial"/>
                <w:sz w:val="20"/>
                <w:szCs w:val="20"/>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Conditions Precedent</w:t>
            </w:r>
          </w:p>
        </w:tc>
        <w:tc>
          <w:tcPr>
            <w:tcW w:type="pct" w:w="75%"/>
            <w:tcMar>
              <w:top w:type="dxa" w:w="40"/>
              <w:left w:type="dxa" w:w="80"/>
              <w:bottom w:type="dxa" w:w="40"/>
              <w:right w:type="dxa" w:w="80"/>
            </w:tcMar>
          </w:tcPr>
          <w:p>
            <w:pPr>
              <w:spacing w:after="120"/>
            </w:pPr>
            <w:r>
              <w:rPr>
                <w:rFonts w:ascii="Arial" w:cs="Arial" w:eastAsia="Arial" w:hAnsi="Arial"/>
                <w:sz w:val="20"/>
                <w:szCs w:val="20"/>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Performance Monitoring</w:t>
            </w:r>
          </w:p>
        </w:tc>
        <w:tc>
          <w:tcPr>
            <w:tcW w:type="pct" w:w="75%"/>
            <w:tcMar>
              <w:top w:type="dxa" w:w="40"/>
              <w:left w:type="dxa" w:w="80"/>
              <w:bottom w:type="dxa" w:w="40"/>
              <w:right w:type="dxa" w:w="80"/>
            </w:tcMar>
          </w:tcPr>
          <w:p>
            <w:pPr>
              <w:spacing w:after="120"/>
            </w:pPr>
            <w:r>
              <w:rPr>
                <w:rFonts w:ascii="Arial" w:cs="Arial" w:eastAsia="Arial" w:hAnsi="Arial"/>
                <w:sz w:val="20"/>
                <w:szCs w:val="20"/>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Terms &amp; Conditions</w:t>
            </w:r>
          </w:p>
        </w:tc>
        <w:tc>
          <w:tcPr>
            <w:tcW w:type="pct" w:w="75%"/>
            <w:tcMar>
              <w:top w:type="dxa" w:w="40"/>
              <w:left w:type="dxa" w:w="80"/>
              <w:bottom w:type="dxa" w:w="40"/>
              <w:right w:type="dxa" w:w="80"/>
            </w:tcMar>
          </w:tcPr>
          <w:p>
            <w:pPr>
              <w:spacing w:after="120"/>
            </w:pPr>
            <w:r>
              <w:rPr>
                <w:rFonts w:ascii="Arial" w:cs="Arial" w:eastAsia="Arial" w:hAnsi="Arial"/>
                <w:sz w:val="20"/>
                <w:szCs w:val="20"/>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Covenants</w:t>
            </w:r>
          </w:p>
        </w:tc>
        <w:tc>
          <w:tcPr>
            <w:tcW w:type="pct" w:w="75%"/>
            <w:tcMar>
              <w:top w:type="dxa" w:w="40"/>
              <w:left w:type="dxa" w:w="80"/>
              <w:bottom w:type="dxa" w:w="40"/>
              <w:right w:type="dxa" w:w="80"/>
            </w:tcMar>
          </w:tcPr>
          <w:p>
            <w:pPr>
              <w:spacing w:after="120"/>
            </w:pPr>
            <w:r>
              <w:rPr>
                <w:rFonts w:ascii="Arial" w:cs="Arial" w:eastAsia="Arial" w:hAnsi="Arial"/>
                <w:sz w:val="20"/>
                <w:szCs w:val="20"/>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Governing Law</w:t>
            </w:r>
          </w:p>
        </w:tc>
        <w:tc>
          <w:tcPr>
            <w:tcW w:type="pct" w:w="75%"/>
            <w:tcMar>
              <w:top w:type="dxa" w:w="40"/>
              <w:left w:type="dxa" w:w="80"/>
              <w:bottom w:type="dxa" w:w="40"/>
              <w:right w:type="dxa" w:w="80"/>
            </w:tcMar>
          </w:tcPr>
          <w:p>
            <w:r>
              <w:rPr>
                <w:rFonts w:ascii="Arial" w:cs="Arial" w:eastAsia="Arial" w:hAnsi="Arial"/>
                <w:sz w:val="18"/>
                <w:szCs w:val="18"/>
              </w:rPr>
              <w:t xml:space="preserve">Qatari Law</w:t>
            </w:r>
          </w:p>
        </w:tc>
      </w:tr>
    </w:tbl>
    <w:p>
      <w:pPr>
        <w:pStyle w:val="Heading1"/>
        <w:spacing w:after="120" w:before="240"/>
      </w:pPr>
      <w:r>
        <w:rPr>
          <w:rFonts w:ascii="Arial" w:cs="Arial" w:eastAsia="Arial" w:hAnsi="Arial"/>
          <w:b/>
          <w:bCs/>
          <w:color w:val="1F3864"/>
          <w:sz w:val="26"/>
          <w:szCs w:val="26"/>
        </w:rPr>
        <w:t xml:space="preserve">III. Borrower Background</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borrower is identified as </w:t>
      </w:r>
      <w:r>
        <w:rPr>
          <w:rFonts w:ascii="Arial" w:cs="Arial" w:eastAsia="Arial" w:hAnsi="Arial"/>
          <w:b/>
          <w:bCs/>
          <w:sz w:val="20"/>
          <w:szCs w:val="20"/>
        </w:rPr>
        <w:t xml:space="preserve">oussama iqbal</w:t>
      </w:r>
      <w:r>
        <w:rPr>
          <w:rFonts w:ascii="Arial" w:cs="Arial" w:eastAsia="Arial" w:hAnsi="Arial"/>
          <w:sz w:val="20"/>
          <w:szCs w:val="20"/>
        </w:rPr>
        <w:t xml:space="preserve">. The application indicates that the relationship would be established through a new account under Ahlibank Q.P.S.C.’s Private Banking &amp; Wealth Management business line, with Sara Al-Kuwari identified as Relationship Manager (Source: application form).</w:t>
      </w:r>
    </w:p>
    <w:p>
      <w:pPr>
        <w:spacing w:after="120"/>
        <w:jc w:val="both"/>
      </w:pPr>
      <w:r>
        <w:rPr>
          <w:rFonts w:ascii="Arial" w:cs="Arial" w:eastAsia="Arial" w:hAnsi="Arial"/>
          <w:sz w:val="20"/>
          <w:szCs w:val="20"/>
        </w:rPr>
        <w:t xml:space="preserve">No information has been provided regarding the borrower’s licensed activities, business or professional occupation, domicile, incorporation status, shareholding, beneficial ownership structure, or management experience (Source: application form). Accordingly, the ownership narrative and management profiles cannot be assessed from the available information.</w:t>
      </w:r>
    </w:p>
    <w:p>
      <w:pPr>
        <w:spacing w:after="120"/>
        <w:jc w:val="both"/>
      </w:pPr>
      <w:r>
        <w:rPr>
          <w:rFonts w:ascii="Arial" w:cs="Arial" w:eastAsia="Arial" w:hAnsi="Arial"/>
          <w:sz w:val="20"/>
          <w:szCs w:val="20"/>
        </w:rPr>
        <w:t xml:space="preserve">The submitted documents comprise personal Commonwealth Bank of Australia statements in the borrower’s name. The statements evidence activity in AUD, including transfers between linked accounts and third-party personal transfers, but do not identify a business activity, salary stream, or operating-revenue source (Source: Statements20250630 (1).pdf, p.1; Source: Statements20251230.pdf, p.14). No KYC or constitutional documents have been uploaded, and no audited financial statements or management accounts are available for review (Source: application form).</w:t>
      </w:r>
    </w:p>
    <w:p>
      <w:pPr>
        <w:spacing w:after="120"/>
        <w:jc w:val="both"/>
      </w:pPr>
      <w:r>
        <w:rPr>
          <w:rFonts w:ascii="Arial" w:cs="Arial" w:eastAsia="Arial" w:hAnsi="Arial"/>
          <w:sz w:val="20"/>
          <w:szCs w:val="20"/>
        </w:rPr>
        <w:t xml:space="preserve">[Analyst to confirm: borrower’s legal status, nationality and domicile; occupation or business activity; source of wealth and source of funds; ownership and beneficial ownership details; relevant licences or registrations; and management or professional background.]</w:t>
      </w:r>
    </w:p>
    <w:p>
      <w:pPr>
        <w:pStyle w:val="Heading1"/>
        <w:spacing w:after="120" w:before="240"/>
      </w:pPr>
      <w:r>
        <w:rPr>
          <w:rFonts w:ascii="Arial" w:cs="Arial" w:eastAsia="Arial" w:hAnsi="Arial"/>
          <w:b/>
          <w:bCs/>
          <w:color w:val="1F3864"/>
          <w:sz w:val="26"/>
          <w:szCs w:val="26"/>
        </w:rPr>
        <w:t xml:space="preserve">IV. Industry Analysis</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[Analyst to confirm: The borrower’s industry, business activity, operating model and principal markets are not provided in the application materials.] Accordingly, a sector-specific assessment of market outlook, competitive conditions, regulatory environment, demand drivers, operating challenges and cyclicality cannot be completed at this stage.</w:t>
      </w:r>
    </w:p>
    <w:p>
      <w:pPr>
        <w:spacing w:after="120"/>
        <w:jc w:val="both"/>
      </w:pPr>
      <w:r>
        <w:rPr>
          <w:rFonts w:ascii="Arial" w:cs="Arial" w:eastAsia="Arial" w:hAnsi="Arial"/>
          <w:sz w:val="20"/>
          <w:szCs w:val="20"/>
        </w:rPr>
        <w:t xml:space="preserve">The available bank statements relate to a personal Commonwealth Bank account and do not identify salary, employer receipts or clearly identifiable business-revenue credits. Inflows are predominantly transfers from linked accounts and personal counterparties, including loan-return, credit-to-account and refund descriptions; therefore, the statements do not establish the borrower’s underlying revenue source or sector exposure (Source: Statements20250630 (1).pdf, p.13; Source: Statements20251230.pdf, p.14). The account also shows material onward transfers to savings and other accounts, which require clarification before assessing sustainable cash generation (Source: Statements20250630 (1).pdf, p.1; Source: Statements20251230.pdf, p.13).</w:t>
      </w:r>
    </w:p>
    <w:p>
      <w:pPr>
        <w:spacing w:after="120"/>
        <w:jc w:val="both"/>
      </w:pPr>
      <w:r>
        <w:rPr>
          <w:rFonts w:ascii="Arial" w:cs="Arial" w:eastAsia="Arial" w:hAnsi="Arial"/>
          <w:sz w:val="20"/>
          <w:szCs w:val="20"/>
        </w:rPr>
        <w:t xml:space="preserve">[Analyst to confirm: Details of any guarantor, including identity, relationship to the borrower, source of wealth, income generation, financial capacity, jurisdiction and sector exposure, are not provided.] A guarantor outlook and assessment of supportability cannot therefore be performed. The proposed facility purpose is also unspecified (Source: application form).</w:t>
      </w:r>
    </w:p>
    <w:p>
      <w:pPr>
        <w:pStyle w:val="Heading1"/>
        <w:spacing w:after="120" w:before="240"/>
      </w:pPr>
      <w:r>
        <w:rPr>
          <w:rFonts w:ascii="Arial" w:cs="Arial" w:eastAsia="Arial" w:hAnsi="Arial"/>
          <w:b/>
          <w:bCs/>
          <w:color w:val="1F3864"/>
          <w:sz w:val="26"/>
          <w:szCs w:val="26"/>
        </w:rPr>
        <w:t xml:space="preserve">V. Financial Analysis</w:t>
      </w:r>
    </w:p>
    <w:p>
      <w:pPr>
        <w:spacing w:after="120"/>
      </w:pPr>
      <w:r>
        <w:rPr>
          <w:rFonts w:ascii="Arial" w:cs="Arial" w:eastAsia="Arial" w:hAnsi="Arial"/>
          <w:i/>
          <w:iCs/>
          <w:color w:val="808080"/>
          <w:sz w:val="20"/>
          <w:szCs w:val="20"/>
        </w:rPr>
        <w:t xml:space="preserve">[Section not yet drafted]</w:t>
      </w:r>
    </w:p>
    <w:p>
      <w:pPr>
        <w:pStyle w:val="Heading1"/>
        <w:spacing w:after="120" w:before="240"/>
      </w:pPr>
      <w:r>
        <w:rPr>
          <w:rFonts w:ascii="Arial" w:cs="Arial" w:eastAsia="Arial" w:hAnsi="Arial"/>
          <w:b/>
          <w:bCs/>
          <w:color w:val="1F3864"/>
          <w:sz w:val="26"/>
          <w:szCs w:val="26"/>
        </w:rPr>
        <w:t xml:space="preserve">VI. Account Conduct &amp; Profitability</w:t>
      </w:r>
    </w:p>
    <w:p>
      <w:pPr>
        <w:spacing w:after="120"/>
      </w:pPr>
      <w:r>
        <w:rPr>
          <w:rFonts w:ascii="Arial" w:cs="Arial" w:eastAsia="Arial" w:hAnsi="Arial"/>
          <w:i/>
          <w:iCs/>
          <w:color w:val="808080"/>
          <w:sz w:val="20"/>
          <w:szCs w:val="20"/>
        </w:rPr>
        <w:t xml:space="preserve">New relationship — not applicable.</w:t>
      </w:r>
    </w:p>
    <w:p>
      <w:pPr>
        <w:pStyle w:val="Heading1"/>
        <w:spacing w:after="120" w:before="240"/>
      </w:pPr>
      <w:r>
        <w:rPr>
          <w:rFonts w:ascii="Arial" w:cs="Arial" w:eastAsia="Arial" w:hAnsi="Arial"/>
          <w:b/>
          <w:bCs/>
          <w:color w:val="1F3864"/>
          <w:sz w:val="26"/>
          <w:szCs w:val="26"/>
        </w:rPr>
        <w:t xml:space="preserve">VII. QCB and Credit Bureau Reports</w:t>
      </w:r>
    </w:p>
    <w:p>
      <w:pPr>
        <w:spacing w:after="120"/>
      </w:pPr>
      <w:r>
        <w:rPr>
          <w:rFonts w:ascii="Arial" w:cs="Arial" w:eastAsia="Arial" w:hAnsi="Arial"/>
          <w:i/>
          <w:iCs/>
          <w:color w:val="808080"/>
          <w:sz w:val="20"/>
          <w:szCs w:val="20"/>
        </w:rPr>
        <w:t xml:space="preserve">[Section not yet drafted]</w:t>
      </w:r>
    </w:p>
    <w:p>
      <w:pPr>
        <w:pStyle w:val="Heading1"/>
        <w:spacing w:after="120" w:before="240"/>
      </w:pPr>
      <w:r>
        <w:rPr>
          <w:rFonts w:ascii="Arial" w:cs="Arial" w:eastAsia="Arial" w:hAnsi="Arial"/>
          <w:b/>
          <w:bCs/>
          <w:color w:val="1F3864"/>
          <w:sz w:val="26"/>
          <w:szCs w:val="26"/>
        </w:rPr>
        <w:t xml:space="preserve">VIII. Sources of Repayment</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primary source of repayment has not been established. The submitted Commonwealth Bank statements show substantial credits, but these are predominantly transfers from linked accounts and personal counterparties, with no identifiable salary, employer or operating-revenue stream. For the period 1 July 2025 to 30 December 2025, reported credits were AUD 165,213.28 and debits AUD 164,286.25, with a closing balance of AUD 1,924.03; these inflows cannot be treated as verified sustainable income without supporting evidence (Source: Statements20251230.pdf, p.14). The earlier statement similarly recorded credits of AUD 120,515.70 against debits of AUD 126,497.91 and a closing balance of AUD 997.00, including transfers described as loan returns, credits to account and other personal transactions (Source: Statements20250630 (1).pdf, p.13).</w:t>
      </w:r>
    </w:p>
    <w:p>
      <w:pPr>
        <w:spacing w:after="120"/>
        <w:jc w:val="both"/>
      </w:pPr>
      <w:r>
        <w:rPr>
          <w:rFonts w:ascii="Arial" w:cs="Arial" w:eastAsia="Arial" w:hAnsi="Arial"/>
          <w:sz w:val="20"/>
          <w:szCs w:val="20"/>
        </w:rPr>
        <w:t xml:space="preserve">A secondary repayment source has not been evidenced. Transfers to the applicant’s NAB savings account are visible, including individual transfers of AUD 14,000, AUD 13,000 and AUD 12,000, but no statements, asset verification or evidence of available liquidity for those accounts has been provided (Source: Statements20251230.pdf, p.13). Collateral documentation is also absent (Source: application form).</w:t>
      </w:r>
    </w:p>
    <w:p>
      <w:pPr>
        <w:spacing w:after="120"/>
        <w:jc w:val="both"/>
      </w:pPr>
      <w:r>
        <w:rPr>
          <w:rFonts w:ascii="Arial" w:cs="Arial" w:eastAsia="Arial" w:hAnsi="Arial"/>
          <w:sz w:val="20"/>
          <w:szCs w:val="20"/>
        </w:rPr>
        <w:t xml:space="preserve">The requested facility is stated as a new demand loan, with no existing facilities recorded in the submitted limit summary (Source: application form). Accordingly, no pari passu arrangement or existing secured creditor position can be confirmed. [Analyst to confirm: sustainable repayment source, verified income/cash flow, available secondary liquidity, security package and whether any pari passu obligations exist.]</w:t>
      </w:r>
    </w:p>
    <w:p>
      <w:pPr>
        <w:pStyle w:val="Heading1"/>
        <w:spacing w:after="120" w:before="240"/>
      </w:pPr>
      <w:r>
        <w:rPr>
          <w:rFonts w:ascii="Arial" w:cs="Arial" w:eastAsia="Arial" w:hAnsi="Arial"/>
          <w:b/>
          <w:bCs/>
          <w:color w:val="1F3864"/>
          <w:sz w:val="26"/>
          <w:szCs w:val="26"/>
        </w:rPr>
        <w:t xml:space="preserve">IX. Risk Rating</w:t>
      </w:r>
    </w:p>
    <w:p>
      <w:pPr>
        <w:spacing w:after="120"/>
      </w:pPr>
      <w:r>
        <w:rPr>
          <w:rFonts w:ascii="Arial" w:cs="Arial" w:eastAsia="Arial" w:hAnsi="Arial"/>
          <w:b/>
          <w:bCs/>
          <w:sz w:val="20"/>
          <w:szCs w:val="20"/>
        </w:rPr>
        <w:t xml:space="preserve">Proposed rating: —</w:t>
      </w:r>
    </w:p>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The proposed facility is a USD 900,000,000K demand loan, equivalent to QAR 3,285,000,000K at the stated parity; tenor, pricing, repayment terms, collateral parameters and proposed risk rating remain unspecified. (Source: application form)</w:t>
      </w:r>
    </w:p>
    <w:p>
      <w:pPr>
        <w:pStyle w:val="ListParagraph"/>
        <w:numPr>
          <w:ilvl w:val="0"/>
          <w:numId w:val="1"/>
        </w:numPr>
        <w:spacing w:after="60"/>
      </w:pPr>
      <w:r>
        <w:rPr>
          <w:rFonts w:ascii="Arial" w:cs="Arial" w:eastAsia="Arial" w:hAnsi="Arial"/>
          <w:sz w:val="20"/>
          <w:szCs w:val="20"/>
        </w:rPr>
        <w:t xml:space="preserve">The available banking evidence does not establish sustainable repayment capacity. For the period 31 December 2024 to 30 June 2025, the account recorded AUD 120,515.70 of credits and AUD 126,497.91 of debits, closing at AUD 997.00; the statement identifies no salary or clearly identifiable business-revenue credits. (Source: Statements20250630 (1).pdf, p.13)</w:t>
      </w:r>
    </w:p>
    <w:p>
      <w:pPr>
        <w:pStyle w:val="ListParagraph"/>
        <w:numPr>
          <w:ilvl w:val="0"/>
          <w:numId w:val="1"/>
        </w:numPr>
        <w:spacing w:after="60"/>
      </w:pPr>
      <w:r>
        <w:rPr>
          <w:rFonts w:ascii="Arial" w:cs="Arial" w:eastAsia="Arial" w:hAnsi="Arial"/>
          <w:sz w:val="20"/>
          <w:szCs w:val="20"/>
        </w:rPr>
        <w:t xml:space="preserve">Account activity is materially driven by transfers from linked accounts and personal counterparties, including loan-return, credit-to-account and other personal descriptions. Several receipts were followed by equivalent or near-equivalent transfers to savings or other accounts, limiting the evidential value of reported turnover. (Source: Statements20250630 (1).pdf, pp.1, 4, 9)</w:t>
      </w:r>
    </w:p>
    <w:p>
      <w:pPr>
        <w:pStyle w:val="ListParagraph"/>
        <w:numPr>
          <w:ilvl w:val="0"/>
          <w:numId w:val="1"/>
        </w:numPr>
        <w:spacing w:after="60"/>
      </w:pPr>
      <w:r>
        <w:rPr>
          <w:rFonts w:ascii="Arial" w:cs="Arial" w:eastAsia="Arial" w:hAnsi="Arial"/>
          <w:sz w:val="20"/>
          <w:szCs w:val="20"/>
        </w:rPr>
        <w:t xml:space="preserve">The account recorded a debit balance of AUD 37.22 on 5 March 2025 before being replenished by a transfer from xx4229 CommBank app. (Source: Statements20250630 (1).pdf, p.6)</w:t>
      </w:r>
    </w:p>
    <w:p>
      <w:pPr>
        <w:pStyle w:val="ListParagraph"/>
        <w:numPr>
          <w:ilvl w:val="0"/>
          <w:numId w:val="1"/>
        </w:numPr>
        <w:spacing w:after="60"/>
      </w:pPr>
      <w:r>
        <w:rPr>
          <w:rFonts w:ascii="Arial" w:cs="Arial" w:eastAsia="Arial" w:hAnsi="Arial"/>
          <w:sz w:val="20"/>
          <w:szCs w:val="20"/>
        </w:rPr>
        <w:t xml:space="preserve">The latest available statement reported AUD 124,199.68 of credits, AUD 124,622.20 of debits and a closing balance of AUD 1,501.51, with transaction activity again dominated by transfers rather than identifiable income. (Source: Statements20260630.pdf, p.11)</w:t>
      </w:r>
    </w:p>
    <w:p>
      <w:pPr>
        <w:pStyle w:val="ListParagraph"/>
        <w:numPr>
          <w:ilvl w:val="0"/>
          <w:numId w:val="1"/>
        </w:numPr>
        <w:spacing w:after="60"/>
      </w:pPr>
      <w:r>
        <w:rPr>
          <w:rFonts w:ascii="Arial" w:cs="Arial" w:eastAsia="Arial" w:hAnsi="Arial"/>
          <w:sz w:val="20"/>
          <w:szCs w:val="20"/>
        </w:rPr>
        <w:t xml:space="preserve">Statement-level totals do not fully reconcile to visible transaction listings, and no audited or management financial statements, bureau report, KYC/constitutional documents or collateral documentation have been uploaded. (Source: Statements20250630 (1).pdf, p.13; Source: application form)</w:t>
      </w:r>
    </w:p>
    <w:p>
      <w:pPr>
        <w:pStyle w:val="ListParagraph"/>
        <w:numPr>
          <w:ilvl w:val="0"/>
          <w:numId w:val="1"/>
        </w:numPr>
        <w:spacing w:after="60"/>
      </w:pPr>
      <w:r>
        <w:rPr>
          <w:rFonts w:ascii="Arial" w:cs="Arial" w:eastAsia="Arial" w:hAnsi="Arial"/>
          <w:sz w:val="20"/>
          <w:szCs w:val="20"/>
        </w:rPr>
        <w:t xml:space="preserve">[Analyst to confirm: proposed risk rating and complete financial, KYC, bureau, source-of-funds and collateral assessment before the rating is submitted to the Committee.]</w:t>
      </w:r>
    </w:p>
    <w:p>
      <w:pPr>
        <w:pStyle w:val="Heading1"/>
        <w:spacing w:after="120" w:before="240"/>
      </w:pPr>
      <w:r>
        <w:rPr>
          <w:rFonts w:ascii="Arial" w:cs="Arial" w:eastAsia="Arial" w:hAnsi="Arial"/>
          <w:b/>
          <w:bCs/>
          <w:color w:val="1F3864"/>
          <w:sz w:val="26"/>
          <w:szCs w:val="26"/>
        </w:rPr>
        <w:t xml:space="preserve">X. Risks &amp; Mitigants</w:t>
      </w:r>
    </w:p>
    <w:p>
      <w:pPr>
        <w:spacing w:after="120"/>
      </w:pPr>
      <w:r>
        <w:rPr>
          <w:rFonts w:ascii="Arial" w:cs="Arial" w:eastAsia="Arial" w:hAnsi="Arial"/>
          <w:i/>
          <w:iCs/>
          <w:color w:val="C00000"/>
          <w:sz w:val="16"/>
          <w:szCs w:val="16"/>
        </w:rPr>
        <w:t xml:space="preserve">[AI-generated draft — pending analyst approval]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Risk</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Description</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Mitigant</w:t>
            </w:r>
          </w:p>
        </w:tc>
      </w:tr>
      <w:tr>
        <w:tc>
          <w:tcPr>
            <w:tcMar>
              <w:top w:type="dxa" w:w="40"/>
              <w:left w:type="dxa" w:w="80"/>
              <w:bottom w:type="dxa" w:w="40"/>
              <w:right w:type="dxa" w:w="80"/>
            </w:tcMar>
          </w:tcPr>
          <w:p>
            <w:r>
              <w:rPr>
                <w:rFonts w:ascii="Arial" w:cs="Arial" w:eastAsia="Arial" w:hAnsi="Arial"/>
                <w:sz w:val="18"/>
                <w:szCs w:val="18"/>
              </w:rPr>
              <w:t xml:space="preserve">Repayment risk</w:t>
            </w:r>
          </w:p>
        </w:tc>
        <w:tc>
          <w:tcPr>
            <w:tcMar>
              <w:top w:type="dxa" w:w="40"/>
              <w:left w:type="dxa" w:w="80"/>
              <w:bottom w:type="dxa" w:w="40"/>
              <w:right w:type="dxa" w:w="80"/>
            </w:tcMar>
          </w:tcPr>
          <w:p>
            <w:r>
              <w:rPr>
                <w:rFonts w:ascii="Arial" w:cs="Arial" w:eastAsia="Arial" w:hAnsi="Arial"/>
                <w:sz w:val="18"/>
                <w:szCs w:val="18"/>
              </w:rPr>
              <w:t xml:space="preserve">The requested facility is a Demand Loan of USD 900,000,000K, equivalent to QAR 3,285,000,000K; tenor and availability period are not specified (Source: application form). The available statements do not evidence identifiable salary or business revenue, and significant inflows comprise transfers, personal receipts, loans/loan returns and refunds (Source: Statements20251230.pdf, p.14).</w:t>
            </w:r>
          </w:p>
        </w:tc>
        <w:tc>
          <w:tcPr>
            <w:tcMar>
              <w:top w:type="dxa" w:w="40"/>
              <w:left w:type="dxa" w:w="80"/>
              <w:bottom w:type="dxa" w:w="40"/>
              <w:right w:type="dxa" w:w="80"/>
            </w:tcMar>
          </w:tcPr>
          <w:p>
            <w:r>
              <w:rPr>
                <w:rFonts w:ascii="Arial" w:cs="Arial" w:eastAsia="Arial" w:hAnsi="Arial"/>
                <w:sz w:val="18"/>
                <w:szCs w:val="18"/>
              </w:rPr>
              <w:t xml:space="preserve">[Analyst to confirm: purpose of the facility, repayment source, tenor, availability period and borrower financial capacity]. Obtain satisfactory evidence of sustainable income, source of funds and repayment ability before submission for committee decision.</w:t>
            </w:r>
          </w:p>
        </w:tc>
      </w:tr>
      <w:tr>
        <w:tc>
          <w:tcPr>
            <w:tcMar>
              <w:top w:type="dxa" w:w="40"/>
              <w:left w:type="dxa" w:w="80"/>
              <w:bottom w:type="dxa" w:w="40"/>
              <w:right w:type="dxa" w:w="80"/>
            </w:tcMar>
          </w:tcPr>
          <w:p>
            <w:r>
              <w:rPr>
                <w:rFonts w:ascii="Arial" w:cs="Arial" w:eastAsia="Arial" w:hAnsi="Arial"/>
                <w:sz w:val="18"/>
                <w:szCs w:val="18"/>
              </w:rPr>
              <w:t xml:space="preserve">Cash flow &amp; liquidity mismatch</w:t>
            </w:r>
          </w:p>
        </w:tc>
        <w:tc>
          <w:tcPr>
            <w:tcMar>
              <w:top w:type="dxa" w:w="40"/>
              <w:left w:type="dxa" w:w="80"/>
              <w:bottom w:type="dxa" w:w="40"/>
              <w:right w:type="dxa" w:w="80"/>
            </w:tcMar>
          </w:tcPr>
          <w:p>
            <w:r>
              <w:rPr>
                <w:rFonts w:ascii="Arial" w:cs="Arial" w:eastAsia="Arial" w:hAnsi="Arial"/>
                <w:sz w:val="18"/>
                <w:szCs w:val="18"/>
              </w:rPr>
              <w:t xml:space="preserve">The 31 December 2024–30 June 2025 statement reports AUD 120,515.70 of credits against AUD 126,497.91 of debits, with a closing balance of AUD 997.00 (Source: Statements20250630 (1).pdf, p.13). The account also recorded a debit balance of AUD 37.22 on 5 March 2025, subsequently restored by an incoming transfer (Source: Statements20250630 (1).pdf, p.6).</w:t>
            </w:r>
          </w:p>
        </w:tc>
        <w:tc>
          <w:tcPr>
            <w:tcMar>
              <w:top w:type="dxa" w:w="40"/>
              <w:left w:type="dxa" w:w="80"/>
              <w:bottom w:type="dxa" w:w="40"/>
              <w:right w:type="dxa" w:w="80"/>
            </w:tcMar>
          </w:tcPr>
          <w:p>
            <w:r>
              <w:rPr>
                <w:rFonts w:ascii="Arial" w:cs="Arial" w:eastAsia="Arial" w:hAnsi="Arial"/>
                <w:sz w:val="18"/>
                <w:szCs w:val="18"/>
              </w:rPr>
              <w:t xml:space="preserve">Validate sustainable free cash flow, recurring debt and household commitments, and liquidity available for debt service. Require clarification of transfers to linked savings and other accounts and consider appropriate monitoring conditions.</w:t>
            </w:r>
          </w:p>
        </w:tc>
      </w:tr>
      <w:tr>
        <w:tc>
          <w:tcPr>
            <w:tcMar>
              <w:top w:type="dxa" w:w="40"/>
              <w:left w:type="dxa" w:w="80"/>
              <w:bottom w:type="dxa" w:w="40"/>
              <w:right w:type="dxa" w:w="80"/>
            </w:tcMar>
          </w:tcPr>
          <w:p>
            <w:r>
              <w:rPr>
                <w:rFonts w:ascii="Arial" w:cs="Arial" w:eastAsia="Arial" w:hAnsi="Arial"/>
                <w:sz w:val="18"/>
                <w:szCs w:val="18"/>
              </w:rPr>
              <w:t xml:space="preserve">Security risk</w:t>
            </w:r>
          </w:p>
        </w:tc>
        <w:tc>
          <w:tcPr>
            <w:tcMar>
              <w:top w:type="dxa" w:w="40"/>
              <w:left w:type="dxa" w:w="80"/>
              <w:bottom w:type="dxa" w:w="40"/>
              <w:right w:type="dxa" w:w="80"/>
            </w:tcMar>
          </w:tcPr>
          <w:p>
            <w:r>
              <w:rPr>
                <w:rFonts w:ascii="Arial" w:cs="Arial" w:eastAsia="Arial" w:hAnsi="Arial"/>
                <w:sz w:val="18"/>
                <w:szCs w:val="18"/>
              </w:rPr>
              <w:t xml:space="preserve">No collateral documentation has been uploaded and the requested LTV cap and security coverage are unspecified (Source: application form). Accordingly, recoverability in an enforcement scenario cannot presently be assessed.</w:t>
            </w:r>
          </w:p>
        </w:tc>
        <w:tc>
          <w:tcPr>
            <w:tcMar>
              <w:top w:type="dxa" w:w="40"/>
              <w:left w:type="dxa" w:w="80"/>
              <w:bottom w:type="dxa" w:w="40"/>
              <w:right w:type="dxa" w:w="80"/>
            </w:tcMar>
          </w:tcPr>
          <w:p>
            <w:r>
              <w:rPr>
                <w:rFonts w:ascii="Arial" w:cs="Arial" w:eastAsia="Arial" w:hAnsi="Arial"/>
                <w:sz w:val="18"/>
                <w:szCs w:val="18"/>
              </w:rPr>
              <w:t xml:space="preserve">[Analyst to confirm: proposed collateral, ownership, valuation, enforceability, LTV cap, security coverage and perfection requirements]. Obtain and complete satisfactory collateral documentation before reliance on security.</w:t>
            </w:r>
          </w:p>
        </w:tc>
      </w:tr>
      <w:tr>
        <w:tc>
          <w:tcPr>
            <w:tcMar>
              <w:top w:type="dxa" w:w="40"/>
              <w:left w:type="dxa" w:w="80"/>
              <w:bottom w:type="dxa" w:w="40"/>
              <w:right w:type="dxa" w:w="80"/>
            </w:tcMar>
          </w:tcPr>
          <w:p>
            <w:r>
              <w:rPr>
                <w:rFonts w:ascii="Arial" w:cs="Arial" w:eastAsia="Arial" w:hAnsi="Arial"/>
                <w:sz w:val="18"/>
                <w:szCs w:val="18"/>
              </w:rPr>
              <w:t xml:space="preserve">Interest rate risk</w:t>
            </w:r>
          </w:p>
        </w:tc>
        <w:tc>
          <w:tcPr>
            <w:tcMar>
              <w:top w:type="dxa" w:w="40"/>
              <w:left w:type="dxa" w:w="80"/>
              <w:bottom w:type="dxa" w:w="40"/>
              <w:right w:type="dxa" w:w="80"/>
            </w:tcMar>
          </w:tcPr>
          <w:p>
            <w:r>
              <w:rPr>
                <w:rFonts w:ascii="Arial" w:cs="Arial" w:eastAsia="Arial" w:hAnsi="Arial"/>
                <w:sz w:val="18"/>
                <w:szCs w:val="18"/>
              </w:rPr>
              <w:t xml:space="preserve">Pricing, spread, maximum all-in rate and related fee terms are unspecified (Source: application form). The impact of future rate changes on affordability therefore cannot be assessed.</w:t>
            </w:r>
          </w:p>
        </w:tc>
        <w:tc>
          <w:tcPr>
            <w:tcMar>
              <w:top w:type="dxa" w:w="40"/>
              <w:left w:type="dxa" w:w="80"/>
              <w:bottom w:type="dxa" w:w="40"/>
              <w:right w:type="dxa" w:w="80"/>
            </w:tcMar>
          </w:tcPr>
          <w:p>
            <w:r>
              <w:rPr>
                <w:rFonts w:ascii="Arial" w:cs="Arial" w:eastAsia="Arial" w:hAnsi="Arial"/>
                <w:sz w:val="18"/>
                <w:szCs w:val="18"/>
              </w:rPr>
              <w:t xml:space="preserve">[Analyst to confirm: benchmark, spread, maximum all-in pricing, fees and repricing terms]. Assess repayment capacity under an appropriate interest-rate sensitivity before committee consideration.</w:t>
            </w:r>
          </w:p>
        </w:tc>
      </w:tr>
      <w:tr>
        <w:tc>
          <w:tcPr>
            <w:tcMar>
              <w:top w:type="dxa" w:w="40"/>
              <w:left w:type="dxa" w:w="80"/>
              <w:bottom w:type="dxa" w:w="40"/>
              <w:right w:type="dxa" w:w="80"/>
            </w:tcMar>
          </w:tcPr>
          <w:p>
            <w:r>
              <w:rPr>
                <w:rFonts w:ascii="Arial" w:cs="Arial" w:eastAsia="Arial" w:hAnsi="Arial"/>
                <w:sz w:val="18"/>
                <w:szCs w:val="18"/>
              </w:rPr>
              <w:t xml:space="preserve">Valuation lag</w:t>
            </w:r>
          </w:p>
        </w:tc>
        <w:tc>
          <w:tcPr>
            <w:tcMar>
              <w:top w:type="dxa" w:w="40"/>
              <w:left w:type="dxa" w:w="80"/>
              <w:bottom w:type="dxa" w:w="40"/>
              <w:right w:type="dxa" w:w="80"/>
            </w:tcMar>
          </w:tcPr>
          <w:p>
            <w:r>
              <w:rPr>
                <w:rFonts w:ascii="Arial" w:cs="Arial" w:eastAsia="Arial" w:hAnsi="Arial"/>
                <w:sz w:val="18"/>
                <w:szCs w:val="18"/>
              </w:rPr>
              <w:t xml:space="preserve">No collateral or valuation information has been provided, while liquidation and top-up triggers are unspecified (Source: application form). Any delay in obtaining updated valuations could weaken coverage if asset values decline.</w:t>
            </w:r>
          </w:p>
        </w:tc>
        <w:tc>
          <w:tcPr>
            <w:tcMar>
              <w:top w:type="dxa" w:w="40"/>
              <w:left w:type="dxa" w:w="80"/>
              <w:bottom w:type="dxa" w:w="40"/>
              <w:right w:type="dxa" w:w="80"/>
            </w:tcMar>
          </w:tcPr>
          <w:p>
            <w:r>
              <w:rPr>
                <w:rFonts w:ascii="Arial" w:cs="Arial" w:eastAsia="Arial" w:hAnsi="Arial"/>
                <w:sz w:val="18"/>
                <w:szCs w:val="18"/>
              </w:rPr>
              <w:t xml:space="preserve">[Analyst to confirm: collateral valuation basis, frequency of revaluation, valuation provider, LTV top-up trigger and liquidation trigger]. Establish documented margin-monitoring and remedial procedures if security is proposed.</w:t>
            </w:r>
          </w:p>
        </w:tc>
      </w:tr>
      <w:tr>
        <w:tc>
          <w:tcPr>
            <w:tcMar>
              <w:top w:type="dxa" w:w="40"/>
              <w:left w:type="dxa" w:w="80"/>
              <w:bottom w:type="dxa" w:w="40"/>
              <w:right w:type="dxa" w:w="80"/>
            </w:tcMar>
          </w:tcPr>
          <w:p>
            <w:r>
              <w:rPr>
                <w:rFonts w:ascii="Arial" w:cs="Arial" w:eastAsia="Arial" w:hAnsi="Arial"/>
                <w:sz w:val="18"/>
                <w:szCs w:val="18"/>
              </w:rPr>
              <w:t xml:space="preserve">Capital call default</w:t>
            </w:r>
          </w:p>
        </w:tc>
        <w:tc>
          <w:tcPr>
            <w:tcMar>
              <w:top w:type="dxa" w:w="40"/>
              <w:left w:type="dxa" w:w="80"/>
              <w:bottom w:type="dxa" w:w="40"/>
              <w:right w:type="dxa" w:w="80"/>
            </w:tcMar>
          </w:tcPr>
          <w:p>
            <w:r>
              <w:rPr>
                <w:rFonts w:ascii="Arial" w:cs="Arial" w:eastAsia="Arial" w:hAnsi="Arial"/>
                <w:sz w:val="18"/>
                <w:szCs w:val="18"/>
              </w:rPr>
              <w:t xml:space="preserve">Not applicable to the requested Demand Loan based on the available term-sheet information; no capital-call feature is stated (Source: application form).</w:t>
            </w:r>
          </w:p>
        </w:tc>
        <w:tc>
          <w:tcPr>
            <w:tcMar>
              <w:top w:type="dxa" w:w="40"/>
              <w:left w:type="dxa" w:w="80"/>
              <w:bottom w:type="dxa" w:w="40"/>
              <w:right w:type="dxa" w:w="80"/>
            </w:tcMar>
          </w:tcPr>
          <w:p>
            <w:r>
              <w:rPr>
                <w:rFonts w:ascii="Arial" w:cs="Arial" w:eastAsia="Arial" w:hAnsi="Arial"/>
                <w:sz w:val="18"/>
                <w:szCs w:val="18"/>
              </w:rPr>
              <w:t xml:space="preserve">Confirm that the final facility documentation contains no capital-call obligation or equivalent unfunded commitment.</w:t>
            </w:r>
          </w:p>
        </w:tc>
      </w:tr>
      <w:tr>
        <w:tc>
          <w:tcPr>
            <w:tcMar>
              <w:top w:type="dxa" w:w="40"/>
              <w:left w:type="dxa" w:w="80"/>
              <w:bottom w:type="dxa" w:w="40"/>
              <w:right w:type="dxa" w:w="80"/>
            </w:tcMar>
          </w:tcPr>
          <w:p>
            <w:r>
              <w:rPr>
                <w:rFonts w:ascii="Arial" w:cs="Arial" w:eastAsia="Arial" w:hAnsi="Arial"/>
                <w:sz w:val="18"/>
                <w:szCs w:val="18"/>
              </w:rPr>
              <w:t xml:space="preserve">Documentation and verification risk</w:t>
            </w:r>
          </w:p>
        </w:tc>
        <w:tc>
          <w:tcPr>
            <w:tcMar>
              <w:top w:type="dxa" w:w="40"/>
              <w:left w:type="dxa" w:w="80"/>
              <w:bottom w:type="dxa" w:w="40"/>
              <w:right w:type="dxa" w:w="80"/>
            </w:tcMar>
          </w:tcPr>
          <w:p>
            <w:r>
              <w:rPr>
                <w:rFonts w:ascii="Arial" w:cs="Arial" w:eastAsia="Arial" w:hAnsi="Arial"/>
                <w:sz w:val="18"/>
                <w:szCs w:val="18"/>
              </w:rPr>
              <w:t xml:space="preserve">Audited or management financial statements, QCB/Credit Bureau reports, KYC and constitutional documents, and collateral documentation are identified as missing (Source: application form). In addition, the 2025 statement reports that official totals do not fully reconcile to visible transaction lines (Source: Statements20250630 (1).pdf, p.13).</w:t>
            </w:r>
          </w:p>
        </w:tc>
        <w:tc>
          <w:tcPr>
            <w:tcMar>
              <w:top w:type="dxa" w:w="40"/>
              <w:left w:type="dxa" w:w="80"/>
              <w:bottom w:type="dxa" w:w="40"/>
              <w:right w:type="dxa" w:w="80"/>
            </w:tcMar>
          </w:tcPr>
          <w:p>
            <w:r>
              <w:rPr>
                <w:rFonts w:ascii="Arial" w:cs="Arial" w:eastAsia="Arial" w:hAnsi="Arial"/>
                <w:sz w:val="18"/>
                <w:szCs w:val="18"/>
              </w:rPr>
              <w:t xml:space="preserve">Complete KYC, bureau, financial, purpose-of-finance, source-of-funds and collateral verification, and reconcile the bank statements before the proposal is placed for decision.</w:t>
            </w:r>
          </w:p>
        </w:tc>
      </w:tr>
    </w:tbl>
    <w:p>
      <w:pPr>
        <w:spacing w:after="60"/>
      </w:pPr>
      <w:r>
        <w:rPr>
          <w:rFonts w:ascii="Arial" w:cs="Arial" w:eastAsia="Arial" w:hAnsi="Arial"/>
          <w:sz w:val="20"/>
          <w:szCs w:val="20"/>
        </w:rPr>
        <w:t xml:space="preserve"/>
      </w:r>
    </w:p>
    <w:p>
      <w:pPr>
        <w:pStyle w:val="Heading1"/>
        <w:spacing w:after="120" w:before="240"/>
      </w:pPr>
      <w:r>
        <w:rPr>
          <w:rFonts w:ascii="Arial" w:cs="Arial" w:eastAsia="Arial" w:hAnsi="Arial"/>
          <w:b/>
          <w:bCs/>
          <w:color w:val="1F3864"/>
          <w:sz w:val="26"/>
          <w:szCs w:val="26"/>
        </w:rPr>
        <w:t xml:space="preserve">XI. Recommendation</w:t>
      </w:r>
    </w:p>
    <w:p>
      <w:pPr>
        <w:spacing w:after="120"/>
      </w:pPr>
      <w:r>
        <w:rPr>
          <w:rFonts w:ascii="Arial" w:cs="Arial" w:eastAsia="Arial" w:hAnsi="Arial"/>
          <w:i/>
          <w:iCs/>
          <w:color w:val="C00000"/>
          <w:sz w:val="16"/>
          <w:szCs w:val="16"/>
        </w:rPr>
        <w:t xml:space="preserve">[AI-generated draft — pending analyst approval]</w:t>
      </w:r>
    </w:p>
    <w:p>
      <w:pPr>
        <w:spacing w:after="60"/>
        <w:ind w:left="360" w:hanging="360"/>
      </w:pPr>
      <w:r>
        <w:rPr>
          <w:rFonts w:ascii="Arial" w:cs="Arial" w:eastAsia="Arial" w:hAnsi="Arial"/>
          <w:sz w:val="20"/>
          <w:szCs w:val="20"/>
        </w:rPr>
        <w:t xml:space="preserve">1. </w:t>
      </w:r>
      <w:r>
        <w:rPr>
          <w:rFonts w:ascii="Arial" w:cs="Arial" w:eastAsia="Arial" w:hAnsi="Arial"/>
          <w:sz w:val="20"/>
          <w:szCs w:val="20"/>
        </w:rPr>
        <w:t xml:space="preserve">The proposed Demand Loan of USD 900,000,000K, equivalent to QAR 3,285,000,000K at the stated parity, is not supported by the information currently available. The account is new to Ahlibank and the purpose of borrowing has not been provided (Source: application form).</w:t>
      </w:r>
    </w:p>
    <w:p>
      <w:pPr>
        <w:spacing w:after="60"/>
        <w:ind w:left="360" w:hanging="360"/>
      </w:pPr>
      <w:r>
        <w:rPr>
          <w:rFonts w:ascii="Arial" w:cs="Arial" w:eastAsia="Arial" w:hAnsi="Arial"/>
          <w:sz w:val="20"/>
          <w:szCs w:val="20"/>
        </w:rPr>
        <w:t xml:space="preserve">2. </w:t>
      </w:r>
      <w:r>
        <w:rPr>
          <w:rFonts w:ascii="Arial" w:cs="Arial" w:eastAsia="Arial" w:hAnsi="Arial"/>
          <w:sz w:val="20"/>
          <w:szCs w:val="20"/>
        </w:rPr>
        <w:t xml:space="preserve">The repayment basis cannot be established. The submitted Commonwealth Bank statements show credits of AUD 120,515.70 and debits of AUD 126,497.91 for 31 December 2024 to 30 June 2025, with a closing balance of AUD 997.00 (Source: Statements20250630 (1).pdf, p.13). The credits are predominantly transfers, personal receipts, loan returns, refunds and other non-salary items, with no clearly identifiable employment or operating-revenue stream (Source: Statements20250630 (1).pdf, p.13).</w:t>
      </w:r>
    </w:p>
    <w:p>
      <w:pPr>
        <w:spacing w:after="60"/>
        <w:ind w:left="360" w:hanging="360"/>
      </w:pPr>
      <w:r>
        <w:rPr>
          <w:rFonts w:ascii="Arial" w:cs="Arial" w:eastAsia="Arial" w:hAnsi="Arial"/>
          <w:sz w:val="20"/>
          <w:szCs w:val="20"/>
        </w:rPr>
        <w:t xml:space="preserve">3. </w:t>
      </w:r>
      <w:r>
        <w:rPr>
          <w:rFonts w:ascii="Arial" w:cs="Arial" w:eastAsia="Arial" w:hAnsi="Arial"/>
          <w:sz w:val="20"/>
          <w:szCs w:val="20"/>
        </w:rPr>
        <w:t xml:space="preserve">Account conduct presents additional concerns, including a temporary debit balance of AUD 37.22 on 5 March 2025, low residual balances and substantial pass-through transfers to linked accounts and third parties (Source: Statements20250630 (1).pdf, p.6; Source: Statements20250630 (1).pdf, p.1).</w:t>
      </w:r>
    </w:p>
    <w:p>
      <w:pPr>
        <w:spacing w:after="60"/>
        <w:ind w:left="360" w:hanging="360"/>
      </w:pPr>
      <w:r>
        <w:rPr>
          <w:rFonts w:ascii="Arial" w:cs="Arial" w:eastAsia="Arial" w:hAnsi="Arial"/>
          <w:sz w:val="20"/>
          <w:szCs w:val="20"/>
        </w:rPr>
        <w:t xml:space="preserve">4. </w:t>
      </w:r>
      <w:r>
        <w:rPr>
          <w:rFonts w:ascii="Arial" w:cs="Arial" w:eastAsia="Arial" w:hAnsi="Arial"/>
          <w:sz w:val="20"/>
          <w:szCs w:val="20"/>
        </w:rPr>
        <w:t xml:space="preserve">Material underwriting information remains outstanding, including audited or management financial statements, QCB/Credit Bureau reports, KYC and constitutional documents, collateral documentation, facility tenor, pricing, repayment terms and source and purpose of funds (Source: application form).</w:t>
      </w:r>
    </w:p>
    <w:p>
      <w:pPr>
        <w:spacing w:after="120"/>
        <w:jc w:val="both"/>
      </w:pPr>
      <w:r>
        <w:rPr>
          <w:rFonts w:ascii="Arial" w:cs="Arial" w:eastAsia="Arial" w:hAnsi="Arial"/>
          <w:sz w:val="20"/>
          <w:szCs w:val="20"/>
        </w:rPr>
        <w:t xml:space="preserve">Accordingly, the committee is invited to consider the proposed Demand Loan only after the above information is obtained, independently verified and the facility structure, repayment capacity and security package are reassessed; [Analyst to confirm: whether the recommendation should be recorded as defer pending information or decline as submitted].</w:t>
      </w:r>
    </w:p>
    <w:p>
      <w:pPr>
        <w:pStyle w:val="Heading1"/>
        <w:spacing w:after="120" w:before="240"/>
      </w:pPr>
      <w:r>
        <w:rPr>
          <w:rFonts w:ascii="Arial" w:cs="Arial" w:eastAsia="Arial" w:hAnsi="Arial"/>
          <w:b/>
          <w:bCs/>
          <w:color w:val="1F3864"/>
          <w:sz w:val="26"/>
          <w:szCs w:val="26"/>
        </w:rPr>
        <w:t xml:space="preserve">XII. Appendix</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Attachment</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Category</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Pages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Uploaded</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Statements20250630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27 Aug 2026</w:t>
            </w:r>
          </w:p>
        </w:tc>
      </w:tr>
      <w:tr>
        <w:tc>
          <w:tcPr>
            <w:tcMar>
              <w:top w:type="dxa" w:w="40"/>
              <w:left w:type="dxa" w:w="80"/>
              <w:bottom w:type="dxa" w:w="40"/>
              <w:right w:type="dxa" w:w="80"/>
            </w:tcMar>
          </w:tcPr>
          <w:p>
            <w:r>
              <w:rPr>
                <w:rFonts w:ascii="Arial" w:cs="Arial" w:eastAsia="Arial" w:hAnsi="Arial"/>
                <w:sz w:val="18"/>
                <w:szCs w:val="18"/>
              </w:rPr>
              <w:t xml:space="preserve">2</w:t>
            </w:r>
          </w:p>
        </w:tc>
        <w:tc>
          <w:tcPr>
            <w:tcMar>
              <w:top w:type="dxa" w:w="40"/>
              <w:left w:type="dxa" w:w="80"/>
              <w:bottom w:type="dxa" w:w="40"/>
              <w:right w:type="dxa" w:w="80"/>
            </w:tcMar>
          </w:tcPr>
          <w:p>
            <w:r>
              <w:rPr>
                <w:rFonts w:ascii="Arial" w:cs="Arial" w:eastAsia="Arial" w:hAnsi="Arial"/>
                <w:sz w:val="18"/>
                <w:szCs w:val="18"/>
              </w:rPr>
              <w:t xml:space="preserve">Statements20251230.pdf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15</w:t>
            </w:r>
          </w:p>
        </w:tc>
        <w:tc>
          <w:tcPr>
            <w:tcMar>
              <w:top w:type="dxa" w:w="40"/>
              <w:left w:type="dxa" w:w="80"/>
              <w:bottom w:type="dxa" w:w="40"/>
              <w:right w:type="dxa" w:w="80"/>
            </w:tcMar>
          </w:tcPr>
          <w:p>
            <w:r>
              <w:rPr>
                <w:rFonts w:ascii="Arial" w:cs="Arial" w:eastAsia="Arial" w:hAnsi="Arial"/>
                <w:sz w:val="18"/>
                <w:szCs w:val="18"/>
              </w:rPr>
              <w:t xml:space="preserve">27 Aug 2026</w:t>
            </w:r>
          </w:p>
        </w:tc>
      </w:tr>
      <w:tr>
        <w:tc>
          <w:tcPr>
            <w:tcMar>
              <w:top w:type="dxa" w:w="40"/>
              <w:left w:type="dxa" w:w="80"/>
              <w:bottom w:type="dxa" w:w="40"/>
              <w:right w:type="dxa" w:w="80"/>
            </w:tcMar>
          </w:tcPr>
          <w:p>
            <w:r>
              <w:rPr>
                <w:rFonts w:ascii="Arial" w:cs="Arial" w:eastAsia="Arial" w:hAnsi="Arial"/>
                <w:sz w:val="18"/>
                <w:szCs w:val="18"/>
              </w:rPr>
              <w:t xml:space="preserve">3</w:t>
            </w:r>
          </w:p>
        </w:tc>
        <w:tc>
          <w:tcPr>
            <w:tcMar>
              <w:top w:type="dxa" w:w="40"/>
              <w:left w:type="dxa" w:w="80"/>
              <w:bottom w:type="dxa" w:w="40"/>
              <w:right w:type="dxa" w:w="80"/>
            </w:tcMar>
          </w:tcPr>
          <w:p>
            <w:r>
              <w:rPr>
                <w:rFonts w:ascii="Arial" w:cs="Arial" w:eastAsia="Arial" w:hAnsi="Arial"/>
                <w:sz w:val="18"/>
                <w:szCs w:val="18"/>
              </w:rPr>
              <w:t xml:space="preserve">Statements20250630.pdf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27 Aug 2026</w:t>
            </w:r>
          </w:p>
        </w:tc>
      </w:tr>
      <w:tr>
        <w:tc>
          <w:tcPr>
            <w:tcMar>
              <w:top w:type="dxa" w:w="40"/>
              <w:left w:type="dxa" w:w="80"/>
              <w:bottom w:type="dxa" w:w="40"/>
              <w:right w:type="dxa" w:w="80"/>
            </w:tcMar>
          </w:tcPr>
          <w:p>
            <w:r>
              <w:rPr>
                <w:rFonts w:ascii="Arial" w:cs="Arial" w:eastAsia="Arial" w:hAnsi="Arial"/>
                <w:sz w:val="18"/>
                <w:szCs w:val="18"/>
              </w:rPr>
              <w:t xml:space="preserve">4</w:t>
            </w:r>
          </w:p>
        </w:tc>
        <w:tc>
          <w:tcPr>
            <w:tcMar>
              <w:top w:type="dxa" w:w="40"/>
              <w:left w:type="dxa" w:w="80"/>
              <w:bottom w:type="dxa" w:w="40"/>
              <w:right w:type="dxa" w:w="80"/>
            </w:tcMar>
          </w:tcPr>
          <w:p>
            <w:r>
              <w:rPr>
                <w:rFonts w:ascii="Arial" w:cs="Arial" w:eastAsia="Arial" w:hAnsi="Arial"/>
                <w:sz w:val="18"/>
                <w:szCs w:val="18"/>
              </w:rPr>
              <w:t xml:space="preserve">Statements20241230.pdf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27 Aug 2026</w:t>
            </w:r>
          </w:p>
        </w:tc>
      </w:tr>
      <w:tr>
        <w:tc>
          <w:tcPr>
            <w:tcMar>
              <w:top w:type="dxa" w:w="40"/>
              <w:left w:type="dxa" w:w="80"/>
              <w:bottom w:type="dxa" w:w="40"/>
              <w:right w:type="dxa" w:w="80"/>
            </w:tcMar>
          </w:tcPr>
          <w:p>
            <w:r>
              <w:rPr>
                <w:rFonts w:ascii="Arial" w:cs="Arial" w:eastAsia="Arial" w:hAnsi="Arial"/>
                <w:sz w:val="18"/>
                <w:szCs w:val="18"/>
              </w:rPr>
              <w:t xml:space="preserve">5</w:t>
            </w:r>
          </w:p>
        </w:tc>
        <w:tc>
          <w:tcPr>
            <w:tcMar>
              <w:top w:type="dxa" w:w="40"/>
              <w:left w:type="dxa" w:w="80"/>
              <w:bottom w:type="dxa" w:w="40"/>
              <w:right w:type="dxa" w:w="80"/>
            </w:tcMar>
          </w:tcPr>
          <w:p>
            <w:r>
              <w:rPr>
                <w:rFonts w:ascii="Arial" w:cs="Arial" w:eastAsia="Arial" w:hAnsi="Arial"/>
                <w:sz w:val="18"/>
                <w:szCs w:val="18"/>
              </w:rPr>
              <w:t xml:space="preserve">Statements20250630 (2).pdf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27 Aug 2026</w:t>
            </w:r>
          </w:p>
        </w:tc>
      </w:tr>
      <w:tr>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Statements20260630.pdf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12</w:t>
            </w:r>
          </w:p>
        </w:tc>
        <w:tc>
          <w:tcPr>
            <w:tcMar>
              <w:top w:type="dxa" w:w="40"/>
              <w:left w:type="dxa" w:w="80"/>
              <w:bottom w:type="dxa" w:w="40"/>
              <w:right w:type="dxa" w:w="80"/>
            </w:tcMar>
          </w:tcPr>
          <w:p>
            <w:r>
              <w:rPr>
                <w:rFonts w:ascii="Arial" w:cs="Arial" w:eastAsia="Arial" w:hAnsi="Arial"/>
                <w:sz w:val="18"/>
                <w:szCs w:val="18"/>
              </w:rPr>
              <w:t xml:space="preserve">27 Aug 2026</w:t>
            </w:r>
          </w:p>
        </w:tc>
      </w:tr>
    </w:tbl>
    <w:p>
      <w:pPr>
        <w:spacing w:after="120"/>
      </w:pPr>
      <w:r>
        <w:rPr>
          <w:rFonts w:ascii="Arial" w:cs="Arial" w:eastAsia="Arial" w:hAnsi="Arial"/>
          <w:sz w:val="20"/>
          <w:szCs w:val="20"/>
        </w:rPr>
        <w:t xml:space="preserve"/>
      </w:r>
    </w:p>
    <w:p>
      <w:pPr>
        <w:spacing w:after="120"/>
      </w:pPr>
      <w:r>
        <w:rPr>
          <w:rFonts w:ascii="Arial" w:cs="Arial" w:eastAsia="Arial" w:hAnsi="Arial"/>
          <w:i/>
          <w:iCs/>
          <w:color w:val="808080"/>
          <w:sz w:val="16"/>
          <w:szCs w:val="16"/>
        </w:rPr>
        <w:t xml:space="preserve">Generated by the CAM Portal on 01 Nov 2026 01:46 — stage 10: Monitoring &amp; Renewal.</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0"/>
      <w:jc w:val="center"/>
    </w:pPr>
    <w:r>
      <w:rPr>
        <w:rFonts w:ascii="Arial" w:cs="Arial" w:eastAsia="Arial" w:hAnsi="Arial"/>
        <w:color w:val="808080"/>
        <w:sz w:val="16"/>
        <w:szCs w:val="16"/>
      </w:rPr>
      <w:t xml:space="preserve">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right"/>
    </w:pPr>
    <w:r>
      <w:rPr>
        <w:rFonts w:ascii="Arial" w:cs="Arial" w:eastAsia="Arial" w:hAnsi="Arial"/>
        <w:color w:val="808080"/>
        <w:sz w:val="16"/>
        <w:szCs w:val="16"/>
      </w:rPr>
      <w:t xml:space="preserve">Ahlibank Q.P.S.C. — Credit Appraisal Memorandum — CAM-0003/2026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 CAM-0003/2026</dc:title>
  <dc:creator>CAM Portal</dc:creator>
  <cp:lastModifiedBy>Un-named</cp:lastModifiedBy>
  <cp:revision>1</cp:revision>
  <dcterms:created xsi:type="dcterms:W3CDTF">2026-10-31T22:46:37.542Z</dcterms:created>
  <dcterms:modified xsi:type="dcterms:W3CDTF">2026-10-31T22:46:37.542Z</dcterms:modified>
</cp:coreProperties>
</file>

<file path=docProps/custom.xml><?xml version="1.0" encoding="utf-8"?>
<Properties xmlns="http://schemas.openxmlformats.org/officeDocument/2006/custom-properties" xmlns:vt="http://schemas.openxmlformats.org/officeDocument/2006/docPropsVTypes"/>
</file>