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color w:val="1F3864"/>
          <w:sz w:val="28"/>
          <w:szCs w:val="28"/>
        </w:rPr>
        <w:t xml:space="preserve">Ahlibank Q.P.S.C.</w:t>
      </w:r>
    </w:p>
    <w:p>
      <w:pPr>
        <w:spacing w:after="120"/>
        <w:jc w:val="center"/>
      </w:pPr>
      <w:r>
        <w:rPr>
          <w:rFonts w:ascii="Arial" w:cs="Arial" w:eastAsia="Arial" w:hAnsi="Arial"/>
          <w:b/>
          <w:bCs/>
          <w:sz w:val="32"/>
          <w:szCs w:val="32"/>
        </w:rPr>
        <w:t xml:space="preserve">Credit Appraisal Memorandum</w:t>
      </w:r>
    </w:p>
    <w:p>
      <w:pPr>
        <w:spacing w:after="240"/>
        <w:jc w:val="center"/>
      </w:pPr>
      <w:r>
        <w:rPr>
          <w:rFonts w:ascii="Arial" w:cs="Arial" w:eastAsia="Arial" w:hAnsi="Arial"/>
          <w:sz w:val="22"/>
          <w:szCs w:val="22"/>
        </w:rPr>
        <w:t xml:space="preserve">Private Banking &amp; Wealth Management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Date</w:t>
            </w:r>
          </w:p>
        </w:tc>
        <w:tc>
          <w:tcPr>
            <w:tcW w:type="pct" w:w="70%"/>
            <w:tcMar>
              <w:top w:type="dxa" w:w="40"/>
              <w:left w:type="dxa" w:w="80"/>
              <w:bottom w:type="dxa" w:w="40"/>
              <w:right w:type="dxa" w:w="80"/>
            </w:tcMar>
          </w:tcPr>
          <w:p>
            <w:r>
              <w:rPr>
                <w:rFonts w:ascii="Arial" w:cs="Arial" w:eastAsia="Arial" w:hAnsi="Arial"/>
                <w:sz w:val="18"/>
                <w:szCs w:val="18"/>
              </w:rPr>
              <w:t xml:space="preserve">04 Sept 2026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Ref No.</w:t>
            </w:r>
          </w:p>
        </w:tc>
        <w:tc>
          <w:tcPr>
            <w:tcW w:type="pct" w:w="70%"/>
            <w:tcMar>
              <w:top w:type="dxa" w:w="40"/>
              <w:left w:type="dxa" w:w="80"/>
              <w:bottom w:type="dxa" w:w="40"/>
              <w:right w:type="dxa" w:w="80"/>
            </w:tcMar>
          </w:tcPr>
          <w:p>
            <w:r>
              <w:rPr>
                <w:rFonts w:ascii="Arial" w:cs="Arial" w:eastAsia="Arial" w:hAnsi="Arial"/>
                <w:sz w:val="18"/>
                <w:szCs w:val="18"/>
              </w:rPr>
              <w:t xml:space="preserve">CAM-0005/2026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Client Name</w:t>
            </w:r>
          </w:p>
        </w:tc>
        <w:tc>
          <w:tcPr>
            <w:tcW w:type="pct" w:w="70%"/>
            <w:tcMar>
              <w:top w:type="dxa" w:w="40"/>
              <w:left w:type="dxa" w:w="80"/>
              <w:bottom w:type="dxa" w:w="40"/>
              <w:right w:type="dxa" w:w="80"/>
            </w:tcMar>
          </w:tcPr>
          <w:p>
            <w:r>
              <w:rPr>
                <w:rFonts w:ascii="Arial" w:cs="Arial" w:eastAsia="Arial" w:hAnsi="Arial"/>
                <w:sz w:val="18"/>
                <w:szCs w:val="18"/>
              </w:rPr>
              <w:t xml:space="preserve">Bain Industries</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Risk Rating</w:t>
            </w:r>
          </w:p>
        </w:tc>
        <w:tc>
          <w:tcPr>
            <w:tcW w:type="pct" w:w="70%"/>
            <w:tcMar>
              <w:top w:type="dxa" w:w="40"/>
              <w:left w:type="dxa" w:w="80"/>
              <w:bottom w:type="dxa" w:w="40"/>
              <w:right w:type="dxa" w:w="80"/>
            </w:tcMar>
          </w:tcPr>
          <w:p>
            <w:r>
              <w:rPr>
                <w:rFonts w:ascii="Arial" w:cs="Arial" w:eastAsia="Arial" w:hAnsi="Arial"/>
                <w:sz w:val="18"/>
                <w:szCs w:val="18"/>
              </w:rPr>
              <w:t xml:space="preserve">R06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 (to be opened)</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Related to Group</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0%"/>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facility is requested by Sallam International to finance an office revamp, through a proposed demand loan of USD 25,000,000K, equivalent to QAR 91,250,000K at the stated parity of 3.65. The proposed tenor is 25 years, with an availability period of two years. The request is subject to the Committee’s consideration and applicable regulatory and documentation requirements. (Source: application form)</w:t>
            </w:r>
          </w:p>
        </w:tc>
      </w:tr>
    </w:tbl>
    <w:p>
      <w:r>
        <w:br w:type="page"/>
      </w:r>
    </w:p>
    <w:p>
      <w:pPr>
        <w:pStyle w:val="Heading1"/>
        <w:spacing w:after="120" w:before="240"/>
      </w:pPr>
      <w:r>
        <w:rPr>
          <w:rFonts w:ascii="Arial" w:cs="Arial" w:eastAsia="Arial" w:hAnsi="Arial"/>
          <w:b/>
          <w:bCs/>
          <w:color w:val="1F3864"/>
          <w:sz w:val="26"/>
          <w:szCs w:val="26"/>
        </w:rPr>
        <w:t xml:space="preserve">Tracking Sheet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Borrower</w:t>
            </w:r>
          </w:p>
        </w:tc>
        <w:tc>
          <w:tcPr>
            <w:tcW w:type="pct" w:w="70%"/>
            <w:tcMar>
              <w:top w:type="dxa" w:w="40"/>
              <w:left w:type="dxa" w:w="80"/>
              <w:bottom w:type="dxa" w:w="40"/>
              <w:right w:type="dxa" w:w="80"/>
            </w:tcMar>
          </w:tcPr>
          <w:p>
            <w:r>
              <w:rPr>
                <w:rFonts w:ascii="Arial" w:cs="Arial" w:eastAsia="Arial" w:hAnsi="Arial"/>
                <w:sz w:val="18"/>
                <w:szCs w:val="18"/>
              </w:rPr>
              <w:t xml:space="preserve">Bain Industries</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Unit</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Name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Out-Date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Action / Signature</w:t>
            </w:r>
          </w:p>
        </w:tc>
      </w:tr>
      <w:tr>
        <w:tc>
          <w:tcPr>
            <w:tcMar>
              <w:top w:type="dxa" w:w="40"/>
              <w:left w:type="dxa" w:w="80"/>
              <w:bottom w:type="dxa" w:w="40"/>
              <w:right w:type="dxa" w:w="80"/>
            </w:tcMar>
          </w:tcPr>
          <w:p>
            <w:r>
              <w:rPr>
                <w:rFonts w:ascii="Arial" w:cs="Arial" w:eastAsia="Arial" w:hAnsi="Arial"/>
                <w:sz w:val="18"/>
                <w:szCs w:val="18"/>
              </w:rPr>
              <w:t xml:space="preserve">Relationship Manager (Business Unit)</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04 Sept 2026 14:51</w:t>
            </w:r>
          </w:p>
        </w:tc>
        <w:tc>
          <w:tcPr>
            <w:tcMar>
              <w:top w:type="dxa" w:w="40"/>
              <w:left w:type="dxa" w:w="80"/>
              <w:bottom w:type="dxa" w:w="40"/>
              <w:right w:type="dxa" w:w="80"/>
            </w:tcMar>
          </w:tcPr>
          <w:p>
            <w:r>
              <w:rPr>
                <w:rFonts w:ascii="Arial" w:cs="Arial" w:eastAsia="Arial" w:hAnsi="Arial"/>
                <w:sz w:val="18"/>
                <w:szCs w:val="18"/>
              </w:rPr>
              <w:t xml:space="preserve">submit → CAM Preparation — dekh le bhai</w:t>
            </w:r>
          </w:p>
        </w:tc>
      </w:tr>
      <w:tr>
        <w:tc>
          <w:tcPr>
            <w:tcMar>
              <w:top w:type="dxa" w:w="40"/>
              <w:left w:type="dxa" w:w="80"/>
              <w:bottom w:type="dxa" w:w="40"/>
              <w:right w:type="dxa" w:w="80"/>
            </w:tcMar>
          </w:tcPr>
          <w:p>
            <w:r>
              <w:rPr>
                <w:rFonts w:ascii="Arial" w:cs="Arial" w:eastAsia="Arial" w:hAnsi="Arial"/>
                <w:sz w:val="18"/>
                <w:szCs w:val="18"/>
              </w:rPr>
              <w:t xml:space="preserve">Business Unit analyst (Preparer)</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04 Sept 2026 15:19</w:t>
            </w:r>
          </w:p>
        </w:tc>
        <w:tc>
          <w:tcPr>
            <w:tcMar>
              <w:top w:type="dxa" w:w="40"/>
              <w:left w:type="dxa" w:w="80"/>
              <w:bottom w:type="dxa" w:w="40"/>
              <w:right w:type="dxa" w:w="80"/>
            </w:tcMar>
          </w:tcPr>
          <w:p>
            <w:r>
              <w:rPr>
                <w:rFonts w:ascii="Arial" w:cs="Arial" w:eastAsia="Arial" w:hAnsi="Arial"/>
                <w:sz w:val="18"/>
                <w:szCs w:val="18"/>
              </w:rPr>
              <w:t xml:space="preserve">submit → Business Sign-off — agay barh</w:t>
            </w:r>
          </w:p>
        </w:tc>
      </w:tr>
      <w:tr>
        <w:tc>
          <w:tcPr>
            <w:tcMar>
              <w:top w:type="dxa" w:w="40"/>
              <w:left w:type="dxa" w:w="80"/>
              <w:bottom w:type="dxa" w:w="40"/>
              <w:right w:type="dxa" w:w="80"/>
            </w:tcMar>
          </w:tcPr>
          <w:p>
            <w:r>
              <w:rPr>
                <w:rFonts w:ascii="Arial" w:cs="Arial" w:eastAsia="Arial" w:hAnsi="Arial"/>
                <w:sz w:val="18"/>
                <w:szCs w:val="18"/>
              </w:rPr>
              <w:t xml:space="preserve">BU management (Recommender → Concurrer)</w:t>
            </w:r>
          </w:p>
        </w:tc>
        <w:tc>
          <w:tcPr>
            <w:tcMar>
              <w:top w:type="dxa" w:w="40"/>
              <w:left w:type="dxa" w:w="80"/>
              <w:bottom w:type="dxa" w:w="40"/>
              <w:right w:type="dxa" w:w="80"/>
            </w:tcMar>
          </w:tcPr>
          <w:p>
            <w:r>
              <w:rPr>
                <w:rFonts w:ascii="Arial" w:cs="Arial" w:eastAsia="Arial" w:hAnsi="Arial"/>
                <w:sz w:val="18"/>
                <w:szCs w:val="18"/>
              </w:rPr>
              <w:t xml:space="preserve">Person 4</w:t>
            </w:r>
          </w:p>
        </w:tc>
        <w:tc>
          <w:tcPr>
            <w:tcMar>
              <w:top w:type="dxa" w:w="40"/>
              <w:left w:type="dxa" w:w="80"/>
              <w:bottom w:type="dxa" w:w="40"/>
              <w:right w:type="dxa" w:w="80"/>
            </w:tcMar>
          </w:tcPr>
          <w:p>
            <w:r>
              <w:rPr>
                <w:rFonts w:ascii="Arial" w:cs="Arial" w:eastAsia="Arial" w:hAnsi="Arial"/>
                <w:sz w:val="18"/>
                <w:szCs w:val="18"/>
              </w:rPr>
              <w:t xml:space="preserve">04 Sept 2026 15:26</w:t>
            </w:r>
          </w:p>
        </w:tc>
        <w:tc>
          <w:tcPr>
            <w:tcMar>
              <w:top w:type="dxa" w:w="40"/>
              <w:left w:type="dxa" w:w="80"/>
              <w:bottom w:type="dxa" w:w="40"/>
              <w:right w:type="dxa" w:w="80"/>
            </w:tcMar>
          </w:tcPr>
          <w:p>
            <w:r>
              <w:rPr>
                <w:rFonts w:ascii="Arial" w:cs="Arial" w:eastAsia="Arial" w:hAnsi="Arial"/>
                <w:sz w:val="18"/>
                <w:szCs w:val="18"/>
              </w:rPr>
              <w:t xml:space="preserve">pass → Credit Admin Control</w:t>
            </w:r>
          </w:p>
        </w:tc>
      </w:tr>
      <w:tr>
        <w:tc>
          <w:tcPr>
            <w:tcMar>
              <w:top w:type="dxa" w:w="40"/>
              <w:left w:type="dxa" w:w="80"/>
              <w:bottom w:type="dxa" w:w="40"/>
              <w:right w:type="dxa" w:w="80"/>
            </w:tcMar>
          </w:tcPr>
          <w:p>
            <w:r>
              <w:rPr>
                <w:rFonts w:ascii="Arial" w:cs="Arial" w:eastAsia="Arial" w:hAnsi="Arial"/>
                <w:sz w:val="18"/>
                <w:szCs w:val="18"/>
              </w:rPr>
              <w:t xml:space="preserve">Corporate Credit Administration</w:t>
            </w:r>
          </w:p>
        </w:tc>
        <w:tc>
          <w:tcPr>
            <w:tcMar>
              <w:top w:type="dxa" w:w="40"/>
              <w:left w:type="dxa" w:w="80"/>
              <w:bottom w:type="dxa" w:w="40"/>
              <w:right w:type="dxa" w:w="80"/>
            </w:tcMar>
          </w:tcPr>
          <w:p>
            <w:r>
              <w:rPr>
                <w:rFonts w:ascii="Arial" w:cs="Arial" w:eastAsia="Arial" w:hAnsi="Arial"/>
                <w:sz w:val="18"/>
                <w:szCs w:val="18"/>
              </w:rPr>
              <w:t xml:space="preserve">Person 4</w:t>
            </w:r>
          </w:p>
        </w:tc>
        <w:tc>
          <w:tcPr>
            <w:tcMar>
              <w:top w:type="dxa" w:w="40"/>
              <w:left w:type="dxa" w:w="80"/>
              <w:bottom w:type="dxa" w:w="40"/>
              <w:right w:type="dxa" w:w="80"/>
            </w:tcMar>
          </w:tcPr>
          <w:p>
            <w:r>
              <w:rPr>
                <w:rFonts w:ascii="Arial" w:cs="Arial" w:eastAsia="Arial" w:hAnsi="Arial"/>
                <w:sz w:val="18"/>
                <w:szCs w:val="18"/>
              </w:rPr>
              <w:t xml:space="preserve">04 Sept 2026 15:28</w:t>
            </w:r>
          </w:p>
        </w:tc>
        <w:tc>
          <w:tcPr>
            <w:tcMar>
              <w:top w:type="dxa" w:w="40"/>
              <w:left w:type="dxa" w:w="80"/>
              <w:bottom w:type="dxa" w:w="40"/>
              <w:right w:type="dxa" w:w="80"/>
            </w:tcMar>
          </w:tcPr>
          <w:p>
            <w:r>
              <w:rPr>
                <w:rFonts w:ascii="Arial" w:cs="Arial" w:eastAsia="Arial" w:hAnsi="Arial"/>
                <w:sz w:val="18"/>
                <w:szCs w:val="18"/>
              </w:rPr>
              <w:t xml:space="preserve">pass → Independent Risk Review</w:t>
            </w:r>
          </w:p>
        </w:tc>
      </w:tr>
      <w:tr>
        <w:tc>
          <w:tcPr>
            <w:tcMar>
              <w:top w:type="dxa" w:w="40"/>
              <w:left w:type="dxa" w:w="80"/>
              <w:bottom w:type="dxa" w:w="40"/>
              <w:right w:type="dxa" w:w="80"/>
            </w:tcMar>
          </w:tcPr>
          <w:p>
            <w:r>
              <w:rPr>
                <w:rFonts w:ascii="Arial" w:cs="Arial" w:eastAsia="Arial" w:hAnsi="Arial"/>
                <w:sz w:val="18"/>
                <w:szCs w:val="18"/>
              </w:rPr>
              <w:t xml:space="preserve">Risk Management</w:t>
            </w:r>
          </w:p>
        </w:tc>
        <w:tc>
          <w:tcPr>
            <w:tcMar>
              <w:top w:type="dxa" w:w="40"/>
              <w:left w:type="dxa" w:w="80"/>
              <w:bottom w:type="dxa" w:w="40"/>
              <w:right w:type="dxa" w:w="80"/>
            </w:tcMar>
          </w:tcPr>
          <w:p>
            <w:r>
              <w:rPr>
                <w:rFonts w:ascii="Arial" w:cs="Arial" w:eastAsia="Arial" w:hAnsi="Arial"/>
                <w:sz w:val="18"/>
                <w:szCs w:val="18"/>
              </w:rPr>
              <w:t xml:space="preserve">Person 5</w:t>
            </w:r>
          </w:p>
        </w:tc>
        <w:tc>
          <w:tcPr>
            <w:tcMar>
              <w:top w:type="dxa" w:w="40"/>
              <w:left w:type="dxa" w:w="80"/>
              <w:bottom w:type="dxa" w:w="40"/>
              <w:right w:type="dxa" w:w="80"/>
            </w:tcMar>
          </w:tcPr>
          <w:p>
            <w:r>
              <w:rPr>
                <w:rFonts w:ascii="Arial" w:cs="Arial" w:eastAsia="Arial" w:hAnsi="Arial"/>
                <w:sz w:val="18"/>
                <w:szCs w:val="18"/>
              </w:rPr>
              <w:t xml:space="preserve">04 Sept 2026 15:32</w:t>
            </w:r>
          </w:p>
        </w:tc>
        <w:tc>
          <w:tcPr>
            <w:tcMar>
              <w:top w:type="dxa" w:w="40"/>
              <w:left w:type="dxa" w:w="80"/>
              <w:bottom w:type="dxa" w:w="40"/>
              <w:right w:type="dxa" w:w="80"/>
            </w:tcMar>
          </w:tcPr>
          <w:p>
            <w:r>
              <w:rPr>
                <w:rFonts w:ascii="Arial" w:cs="Arial" w:eastAsia="Arial" w:hAnsi="Arial"/>
                <w:sz w:val="18"/>
                <w:szCs w:val="18"/>
              </w:rPr>
              <w:t xml:space="preserve">pass → Committee Approval</w:t>
            </w:r>
          </w:p>
        </w:tc>
      </w:tr>
      <w:tr>
        <w:tc>
          <w:tcPr>
            <w:tcMar>
              <w:top w:type="dxa" w:w="40"/>
              <w:left w:type="dxa" w:w="80"/>
              <w:bottom w:type="dxa" w:w="40"/>
              <w:right w:type="dxa" w:w="80"/>
            </w:tcMar>
          </w:tcPr>
          <w:p>
            <w:r>
              <w:rPr>
                <w:rFonts w:ascii="Arial" w:cs="Arial" w:eastAsia="Arial" w:hAnsi="Arial"/>
                <w:sz w:val="18"/>
                <w:szCs w:val="18"/>
              </w:rPr>
              <w:t xml:space="preserve">L2 / L1 / Credit Committee / Executive Committee</w:t>
            </w:r>
          </w:p>
        </w:tc>
        <w:tc>
          <w:tcPr>
            <w:tcMar>
              <w:top w:type="dxa" w:w="40"/>
              <w:left w:type="dxa" w:w="80"/>
              <w:bottom w:type="dxa" w:w="40"/>
              <w:right w:type="dxa" w:w="80"/>
            </w:tcMar>
          </w:tcPr>
          <w:p>
            <w:r>
              <w:rPr>
                <w:rFonts w:ascii="Arial" w:cs="Arial" w:eastAsia="Arial" w:hAnsi="Arial"/>
                <w:sz w:val="18"/>
                <w:szCs w:val="18"/>
              </w:rPr>
              <w:t xml:space="preserve">Person 5</w:t>
            </w:r>
          </w:p>
        </w:tc>
        <w:tc>
          <w:tcPr>
            <w:tcMar>
              <w:top w:type="dxa" w:w="40"/>
              <w:left w:type="dxa" w:w="80"/>
              <w:bottom w:type="dxa" w:w="40"/>
              <w:right w:type="dxa" w:w="80"/>
            </w:tcMar>
          </w:tcPr>
          <w:p>
            <w:r>
              <w:rPr>
                <w:rFonts w:ascii="Arial" w:cs="Arial" w:eastAsia="Arial" w:hAnsi="Arial"/>
                <w:sz w:val="18"/>
                <w:szCs w:val="18"/>
              </w:rPr>
              <w:t xml:space="preserve">04 Sept 2026 15:33</w:t>
            </w:r>
          </w:p>
        </w:tc>
        <w:tc>
          <w:tcPr>
            <w:tcMar>
              <w:top w:type="dxa" w:w="40"/>
              <w:left w:type="dxa" w:w="80"/>
              <w:bottom w:type="dxa" w:w="40"/>
              <w:right w:type="dxa" w:w="80"/>
            </w:tcMar>
          </w:tcPr>
          <w:p>
            <w:r>
              <w:rPr>
                <w:rFonts w:ascii="Arial" w:cs="Arial" w:eastAsia="Arial" w:hAnsi="Arial"/>
                <w:sz w:val="18"/>
                <w:szCs w:val="18"/>
              </w:rPr>
              <w:t xml:space="preserve">decline → Committee Approval — not sufficient info provided</w:t>
            </w:r>
          </w:p>
        </w:tc>
      </w:tr>
      <w:tr>
        <w:tc>
          <w:tcPr>
            <w:tcMar>
              <w:top w:type="dxa" w:w="40"/>
              <w:left w:type="dxa" w:w="80"/>
              <w:bottom w:type="dxa" w:w="40"/>
              <w:right w:type="dxa" w:w="80"/>
            </w:tcMar>
          </w:tcPr>
          <w:p>
            <w:r>
              <w:rPr>
                <w:rFonts w:ascii="Arial" w:cs="Arial" w:eastAsia="Arial" w:hAnsi="Arial"/>
                <w:sz w:val="18"/>
                <w:szCs w:val="18"/>
              </w:rPr>
              <w:t xml:space="preserve">L2 / L1 / Credit Committee / Executive Committee</w:t>
            </w:r>
          </w:p>
        </w:tc>
        <w:tc>
          <w:tcPr>
            <w:tcMar>
              <w:top w:type="dxa" w:w="40"/>
              <w:left w:type="dxa" w:w="80"/>
              <w:bottom w:type="dxa" w:w="40"/>
              <w:right w:type="dxa" w:w="80"/>
            </w:tcMar>
          </w:tcPr>
          <w:p>
            <w:r>
              <w:rPr>
                <w:rFonts w:ascii="Arial" w:cs="Arial" w:eastAsia="Arial" w:hAnsi="Arial"/>
                <w:sz w:val="18"/>
                <w:szCs w:val="18"/>
              </w:rPr>
              <w:t xml:space="preserve">Person 2</w:t>
            </w:r>
          </w:p>
        </w:tc>
        <w:tc>
          <w:tcPr>
            <w:tcMar>
              <w:top w:type="dxa" w:w="40"/>
              <w:left w:type="dxa" w:w="80"/>
              <w:bottom w:type="dxa" w:w="40"/>
              <w:right w:type="dxa" w:w="80"/>
            </w:tcMar>
          </w:tcPr>
          <w:p>
            <w:r>
              <w:rPr>
                <w:rFonts w:ascii="Arial" w:cs="Arial" w:eastAsia="Arial" w:hAnsi="Arial"/>
                <w:sz w:val="18"/>
                <w:szCs w:val="18"/>
              </w:rPr>
              <w:t xml:space="preserve">05 Sept 2026 17:04</w:t>
            </w:r>
          </w:p>
        </w:tc>
        <w:tc>
          <w:tcPr>
            <w:tcMar>
              <w:top w:type="dxa" w:w="40"/>
              <w:left w:type="dxa" w:w="80"/>
              <w:bottom w:type="dxa" w:w="40"/>
              <w:right w:type="dxa" w:w="80"/>
            </w:tcMar>
          </w:tcPr>
          <w:p>
            <w:r>
              <w:rPr>
                <w:rFonts w:ascii="Arial" w:cs="Arial" w:eastAsia="Arial" w:hAnsi="Arial"/>
                <w:sz w:val="18"/>
                <w:szCs w:val="18"/>
              </w:rPr>
              <w:t xml:space="preserve">reopen → Committee Approval — now</w:t>
            </w:r>
          </w:p>
        </w:tc>
      </w:tr>
    </w:tbl>
    <w:p>
      <w:pPr>
        <w:spacing w:after="60"/>
      </w:pPr>
      <w:r>
        <w:rPr>
          <w:rFonts w:ascii="Arial" w:cs="Arial" w:eastAsia="Arial" w:hAnsi="Arial"/>
          <w:sz w:val="20"/>
          <w:szCs w:val="20"/>
        </w:rPr>
        <w:t xml:space="preserve"/>
      </w:r>
    </w:p>
    <w:p>
      <w:pPr>
        <w:spacing w:after="120"/>
      </w:pPr>
      <w:r>
        <w:rPr>
          <w:rFonts w:ascii="Arial" w:cs="Arial" w:eastAsia="Arial" w:hAnsi="Arial"/>
          <w:b/>
          <w:bCs/>
          <w:sz w:val="20"/>
          <w:szCs w:val="20"/>
        </w:rPr>
        <w:t xml:space="preserve">Approval: Executive Committee</w:t>
      </w:r>
    </w:p>
    <w:p>
      <w:r>
        <w:br w:type="page"/>
      </w:r>
    </w:p>
    <w:p>
      <w:pPr>
        <w:pStyle w:val="Heading1"/>
        <w:spacing w:after="120" w:before="240"/>
      </w:pPr>
      <w:r>
        <w:rPr>
          <w:rFonts w:ascii="Arial" w:cs="Arial" w:eastAsia="Arial" w:hAnsi="Arial"/>
          <w:b/>
          <w:bCs/>
          <w:color w:val="1F3864"/>
          <w:sz w:val="26"/>
          <w:szCs w:val="26"/>
        </w:rPr>
        <w:t xml:space="preserve">Approval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Borrower</w:t>
            </w:r>
          </w:p>
        </w:tc>
        <w:tc>
          <w:tcPr>
            <w:tcW w:type="pct" w:w="70%"/>
            <w:tcMar>
              <w:top w:type="dxa" w:w="40"/>
              <w:left w:type="dxa" w:w="80"/>
              <w:bottom w:type="dxa" w:w="40"/>
              <w:right w:type="dxa" w:w="80"/>
            </w:tcMar>
          </w:tcPr>
          <w:p>
            <w:r>
              <w:rPr>
                <w:rFonts w:ascii="Arial" w:cs="Arial" w:eastAsia="Arial" w:hAnsi="Arial"/>
                <w:sz w:val="18"/>
                <w:szCs w:val="18"/>
              </w:rPr>
              <w:t xml:space="preserve">Bain Industries</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Risk Rating</w:t>
            </w:r>
          </w:p>
        </w:tc>
        <w:tc>
          <w:tcPr>
            <w:tcW w:type="pct" w:w="70%"/>
            <w:tcMar>
              <w:top w:type="dxa" w:w="40"/>
              <w:left w:type="dxa" w:w="80"/>
              <w:bottom w:type="dxa" w:w="40"/>
              <w:right w:type="dxa" w:w="80"/>
            </w:tcMar>
          </w:tcPr>
          <w:p>
            <w:r>
              <w:rPr>
                <w:rFonts w:ascii="Arial" w:cs="Arial" w:eastAsia="Arial" w:hAnsi="Arial"/>
                <w:sz w:val="18"/>
                <w:szCs w:val="18"/>
              </w:rPr>
              <w:t xml:space="preserve">R06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0%"/>
            <w:tcMar>
              <w:top w:type="dxa" w:w="40"/>
              <w:left w:type="dxa" w:w="80"/>
              <w:bottom w:type="dxa" w:w="40"/>
              <w:right w:type="dxa" w:w="80"/>
            </w:tcMar>
          </w:tcPr>
          <w:p>
            <w:r>
              <w:rPr>
                <w:rFonts w:ascii="Arial" w:cs="Arial" w:eastAsia="Arial" w:hAnsi="Arial"/>
                <w:sz w:val="18"/>
                <w:szCs w:val="18"/>
              </w:rPr>
              <w:t xml:space="preserve">Office Revamp</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gridSpan w:val="2"/>
            <w:shd w:fill="D9D9D9" w:color="auto" w:val="clear"/>
            <w:tcMar>
              <w:top w:type="dxa" w:w="40"/>
              <w:left w:type="dxa" w:w="80"/>
              <w:bottom w:type="dxa" w:w="40"/>
              <w:right w:type="dxa" w:w="80"/>
            </w:tcMar>
          </w:tcPr>
          <w:p>
            <w:r>
              <w:rPr>
                <w:rFonts w:ascii="Arial" w:cs="Arial" w:eastAsia="Arial" w:hAnsi="Arial"/>
                <w:b/>
                <w:bCs/>
                <w:sz w:val="18"/>
                <w:szCs w:val="18"/>
              </w:rPr>
              <w:t xml:space="preserve">Level 2 — Recommenders</w:t>
            </w:r>
          </w:p>
        </w:tc>
      </w:tr>
      <w:tr>
        <w:tc>
          <w:tcPr>
            <w:tcMar>
              <w:top w:type="dxa" w:w="40"/>
              <w:left w:type="dxa" w:w="80"/>
              <w:bottom w:type="dxa" w:w="40"/>
              <w:right w:type="dxa" w:w="80"/>
            </w:tcMar>
          </w:tcPr>
          <w:p>
            <w:r>
              <w:rPr>
                <w:rFonts w:ascii="Arial" w:cs="Arial" w:eastAsia="Arial" w:hAnsi="Arial"/>
                <w:sz w:val="18"/>
                <w:szCs w:val="18"/>
              </w:rPr>
              <w:t xml:space="preserve">Person 5
Credit Committee Member
04 Sept 2026</w:t>
            </w:r>
          </w:p>
        </w:tc>
        <w:tc>
          <w:tcPr>
            <w:tcMar>
              <w:top w:type="dxa" w:w="40"/>
              <w:left w:type="dxa" w:w="80"/>
              <w:bottom w:type="dxa" w:w="40"/>
              <w:right w:type="dxa" w:w="80"/>
            </w:tcMar>
          </w:tcPr>
          <w:p>
            <w:r>
              <w:rPr>
                <w:rFonts w:ascii="Arial" w:cs="Arial" w:eastAsia="Arial" w:hAnsi="Arial"/>
                <w:sz w:val="18"/>
                <w:szCs w:val="18"/>
              </w:rPr>
              <w:t xml:space="preserve"/>
            </w:r>
          </w:p>
        </w:tc>
      </w:tr>
      <w:tr>
        <w:tc>
          <w:tcPr>
            <w:gridSpan w:val="2"/>
            <w:shd w:fill="D9D9D9" w:color="auto" w:val="clear"/>
            <w:tcMar>
              <w:top w:type="dxa" w:w="40"/>
              <w:left w:type="dxa" w:w="80"/>
              <w:bottom w:type="dxa" w:w="40"/>
              <w:right w:type="dxa" w:w="80"/>
            </w:tcMar>
          </w:tcPr>
          <w:p>
            <w:r>
              <w:rPr>
                <w:rFonts w:ascii="Arial" w:cs="Arial" w:eastAsia="Arial" w:hAnsi="Arial"/>
                <w:b/>
                <w:bCs/>
                <w:sz w:val="18"/>
                <w:szCs w:val="18"/>
              </w:rPr>
              <w:t xml:space="preserve">Level 1 — Approvers</w:t>
            </w:r>
          </w:p>
        </w:tc>
      </w:tr>
      <w:tr>
        <w:tc>
          <w:tcPr>
            <w:tcMar>
              <w:top w:type="dxa" w:w="40"/>
              <w:left w:type="dxa" w:w="80"/>
              <w:bottom w:type="dxa" w:w="40"/>
              <w:right w:type="dxa" w:w="80"/>
            </w:tcMar>
          </w:tcPr>
          <w:p>
            <w:r>
              <w:rPr>
                <w:rFonts w:ascii="Arial" w:cs="Arial" w:eastAsia="Arial" w:hAnsi="Arial"/>
                <w:sz w:val="18"/>
                <w:szCs w:val="18"/>
              </w:rPr>
              <w:t xml:space="preserve">cxfgdsg
Credit Committee Member
04 Sept 2026</w:t>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Committee member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Designation</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Approved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Declined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Comment</w:t>
            </w:r>
          </w:p>
        </w:tc>
      </w:tr>
      <w:tr>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pPr>
              <w:jc w:val="center"/>
            </w:pPr>
            <w:r>
              <w:rPr>
                <w:rFonts w:ascii="Arial" w:cs="Arial" w:eastAsia="Arial" w:hAnsi="Arial"/>
                <w:sz w:val="18"/>
                <w:szCs w:val="18"/>
              </w:rPr>
              <w:t xml:space="preserve"/>
            </w:r>
          </w:p>
        </w:tc>
        <w:tc>
          <w:tcPr>
            <w:tcMar>
              <w:top w:type="dxa" w:w="40"/>
              <w:left w:type="dxa" w:w="80"/>
              <w:bottom w:type="dxa" w:w="40"/>
              <w:right w:type="dxa" w:w="80"/>
            </w:tcMar>
          </w:tcPr>
          <w:p>
            <w:pPr>
              <w:jc w:val="center"/>
            </w:pPr>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r>
        <w:br w:type="page"/>
      </w:r>
    </w:p>
    <w:p>
      <w:pPr>
        <w:pStyle w:val="Heading1"/>
        <w:spacing w:after="120" w:before="240"/>
      </w:pPr>
      <w:r>
        <w:rPr>
          <w:rFonts w:ascii="Arial" w:cs="Arial" w:eastAsia="Arial" w:hAnsi="Arial"/>
          <w:b/>
          <w:bCs/>
          <w:color w:val="1F3864"/>
          <w:sz w:val="26"/>
          <w:szCs w:val="26"/>
        </w:rPr>
        <w:t xml:space="preserve">Facility Limit Summary</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Group Name</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Relationship Manager</w:t>
            </w:r>
          </w:p>
        </w:tc>
        <w:tc>
          <w:tcPr>
            <w:tcW w:type="pct" w:w="70%"/>
            <w:tcMar>
              <w:top w:type="dxa" w:w="40"/>
              <w:left w:type="dxa" w:w="80"/>
              <w:bottom w:type="dxa" w:w="40"/>
              <w:right w:type="dxa" w:w="80"/>
            </w:tcMar>
          </w:tcPr>
          <w:p>
            <w:r>
              <w:rPr>
                <w:rFonts w:ascii="Arial" w:cs="Arial" w:eastAsia="Arial" w:hAnsi="Arial"/>
                <w:sz w:val="18"/>
                <w:szCs w:val="18"/>
              </w:rPr>
              <w:t xml:space="preserve">Person 1</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Department</w:t>
            </w:r>
          </w:p>
        </w:tc>
        <w:tc>
          <w:tcPr>
            <w:tcW w:type="pct" w:w="70%"/>
            <w:tcMar>
              <w:top w:type="dxa" w:w="40"/>
              <w:left w:type="dxa" w:w="80"/>
              <w:bottom w:type="dxa" w:w="40"/>
              <w:right w:type="dxa" w:w="80"/>
            </w:tcMar>
          </w:tcPr>
          <w:p>
            <w:r>
              <w:rPr>
                <w:rFonts w:ascii="Arial" w:cs="Arial" w:eastAsia="Arial" w:hAnsi="Arial"/>
                <w:sz w:val="18"/>
                <w:szCs w:val="18"/>
              </w:rPr>
              <w:t xml:space="preserve">Private Banking &amp; Wealth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Submitted by</w:t>
            </w:r>
          </w:p>
        </w:tc>
        <w:tc>
          <w:tcPr>
            <w:tcW w:type="pct" w:w="70%"/>
            <w:tcMar>
              <w:top w:type="dxa" w:w="40"/>
              <w:left w:type="dxa" w:w="80"/>
              <w:bottom w:type="dxa" w:w="40"/>
              <w:right w:type="dxa" w:w="80"/>
            </w:tcMar>
          </w:tcPr>
          <w:p>
            <w:r>
              <w:rPr>
                <w:rFonts w:ascii="Arial" w:cs="Arial" w:eastAsia="Arial" w:hAnsi="Arial"/>
                <w:sz w:val="18"/>
                <w:szCs w:val="18"/>
              </w:rPr>
              <w:t xml:space="preserve">Private Banking &amp; Wealth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ROCE %</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Limit % of Capital Base</w:t>
            </w:r>
          </w:p>
        </w:tc>
        <w:tc>
          <w:tcPr>
            <w:tcW w:type="pct" w:w="70%"/>
            <w:tcMar>
              <w:top w:type="dxa" w:w="40"/>
              <w:left w:type="dxa" w:w="80"/>
              <w:bottom w:type="dxa" w:w="40"/>
              <w:right w:type="dxa" w:w="80"/>
            </w:tcMar>
          </w:tcPr>
          <w:p>
            <w:r>
              <w:rPr>
                <w:rFonts w:ascii="Arial" w:cs="Arial" w:eastAsia="Arial" w:hAnsi="Arial"/>
                <w:sz w:val="18"/>
                <w:szCs w:val="18"/>
              </w:rPr>
              <w:t xml:space="preserve">1140.63%</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Borrower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Account No</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RR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Domicile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Industry / Sector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 Type</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Sallam International</w:t>
            </w:r>
          </w:p>
        </w:tc>
        <w:tc>
          <w:tcPr>
            <w:tcMar>
              <w:top w:type="dxa" w:w="40"/>
              <w:left w:type="dxa" w:w="80"/>
              <w:bottom w:type="dxa" w:w="40"/>
              <w:right w:type="dxa" w:w="80"/>
            </w:tcMar>
          </w:tcPr>
          <w:p>
            <w:r>
              <w:rPr>
                <w:rFonts w:ascii="Arial" w:cs="Arial" w:eastAsia="Arial" w:hAnsi="Arial"/>
                <w:sz w:val="18"/>
                <w:szCs w:val="18"/>
              </w:rPr>
              <w:t xml:space="preserve">New</w:t>
            </w:r>
          </w:p>
        </w:tc>
        <w:tc>
          <w:tcPr>
            <w:tcMar>
              <w:top w:type="dxa" w:w="40"/>
              <w:left w:type="dxa" w:w="80"/>
              <w:bottom w:type="dxa" w:w="40"/>
              <w:right w:type="dxa" w:w="80"/>
            </w:tcMar>
          </w:tcPr>
          <w:p>
            <w:r>
              <w:rPr>
                <w:rFonts w:ascii="Arial" w:cs="Arial" w:eastAsia="Arial" w:hAnsi="Arial"/>
                <w:sz w:val="18"/>
                <w:szCs w:val="18"/>
              </w:rPr>
              <w:t xml:space="preserve">R06</w:t>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i/>
          <w:iCs/>
          <w:color w:val="595959"/>
          <w:sz w:val="16"/>
          <w:szCs w:val="16"/>
        </w:rPr>
        <w:t xml:space="preserve">Figures in QAR 000's — USD converted at parity 3.65</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Facility type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Existing</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Proposed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Change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O/s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Pricing</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Collateral</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Demand Loan</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pPr>
              <w:jc w:val="right"/>
            </w:pPr>
            <w:r>
              <w:rPr>
                <w:rFonts w:ascii="Arial" w:cs="Arial" w:eastAsia="Arial" w:hAnsi="Arial"/>
                <w:sz w:val="18"/>
                <w:szCs w:val="18"/>
              </w:rPr>
              <w:t xml:space="preserve">91,250,000</w:t>
            </w:r>
          </w:p>
        </w:tc>
        <w:tc>
          <w:tcPr>
            <w:tcMar>
              <w:top w:type="dxa" w:w="40"/>
              <w:left w:type="dxa" w:w="80"/>
              <w:bottom w:type="dxa" w:w="40"/>
              <w:right w:type="dxa" w:w="80"/>
            </w:tcMar>
          </w:tcPr>
          <w:p>
            <w:pPr>
              <w:jc w:val="right"/>
            </w:pPr>
            <w:r>
              <w:rPr>
                <w:rFonts w:ascii="Arial" w:cs="Arial" w:eastAsia="Arial" w:hAnsi="Arial"/>
                <w:sz w:val="18"/>
                <w:szCs w:val="18"/>
              </w:rPr>
              <w:t xml:space="preserve">91,250,000</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29,250,000</w:t>
            </w:r>
          </w:p>
        </w:tc>
      </w:tr>
      <w:tr>
        <w:tc>
          <w:tcPr>
            <w:gridSpan w:val="3"/>
            <w:shd w:fill="F2F2F2" w:color="auto" w:val="clear"/>
            <w:tcMar>
              <w:top w:type="dxa" w:w="40"/>
              <w:left w:type="dxa" w:w="80"/>
              <w:bottom w:type="dxa" w:w="40"/>
              <w:right w:type="dxa" w:w="80"/>
            </w:tcMar>
          </w:tcPr>
          <w:p>
            <w:r>
              <w:rPr>
                <w:rFonts w:ascii="Arial" w:cs="Arial" w:eastAsia="Arial" w:hAnsi="Arial"/>
                <w:b/>
                <w:bCs/>
                <w:sz w:val="18"/>
                <w:szCs w:val="18"/>
              </w:rPr>
              <w:t xml:space="preserve">SUB-TOTAL</w:t>
            </w:r>
          </w:p>
        </w:tc>
        <w:tc>
          <w:tcPr>
            <w:shd w:fill="F2F2F2" w:color="auto" w:val="clear"/>
            <w:tcMar>
              <w:top w:type="dxa" w:w="40"/>
              <w:left w:type="dxa" w:w="80"/>
              <w:bottom w:type="dxa" w:w="40"/>
              <w:right w:type="dxa" w:w="80"/>
            </w:tcMar>
          </w:tcPr>
          <w:p>
            <w:pPr>
              <w:jc w:val="right"/>
            </w:pPr>
            <w:r>
              <w:rPr>
                <w:rFonts w:ascii="Arial" w:cs="Arial" w:eastAsia="Arial" w:hAnsi="Arial"/>
                <w:b/>
                <w:bCs/>
                <w:sz w:val="18"/>
                <w:szCs w:val="18"/>
              </w:rPr>
              <w:t xml:space="preserve">91,250,000</w:t>
            </w:r>
          </w:p>
        </w:tc>
        <w:tc>
          <w:tcPr>
            <w:gridSpan w:val="2"/>
            <w:shd w:fill="F2F2F2" w:color="auto" w:val="clear"/>
            <w:tcMar>
              <w:top w:type="dxa" w:w="40"/>
              <w:left w:type="dxa" w:w="80"/>
              <w:bottom w:type="dxa" w:w="40"/>
              <w:right w:type="dxa" w:w="80"/>
            </w:tcMar>
          </w:tcPr>
          <w:p>
            <w:r>
              <w:rPr>
                <w:rFonts w:ascii="Arial" w:cs="Arial" w:eastAsia="Arial" w:hAnsi="Arial"/>
                <w:sz w:val="18"/>
                <w:szCs w:val="18"/>
              </w:rPr>
              <w:t xml:space="preserve">Limit expiry: —</w:t>
            </w:r>
          </w:p>
        </w:tc>
        <w:tc>
          <w:tcPr>
            <w:gridSpan w:val="2"/>
            <w:shd w:fill="F2F2F2" w:color="auto" w:val="clear"/>
            <w:tcMar>
              <w:top w:type="dxa" w:w="40"/>
              <w:left w:type="dxa" w:w="80"/>
              <w:bottom w:type="dxa" w:w="40"/>
              <w:right w:type="dxa" w:w="80"/>
            </w:tcMar>
          </w:tcPr>
          <w:p>
            <w:r>
              <w:rPr>
                <w:rFonts w:ascii="Arial" w:cs="Arial" w:eastAsia="Arial" w:hAnsi="Arial"/>
                <w:sz w:val="18"/>
                <w:szCs w:val="18"/>
              </w:rPr>
              <w:t xml:space="preserve">Large Exposure: Y   Related Director: N</w:t>
            </w:r>
          </w:p>
        </w:tc>
      </w:tr>
      <w:tr>
        <w:tc>
          <w:tcPr>
            <w:gridSpan w:val="3"/>
            <w:tcMar>
              <w:top w:type="dxa" w:w="40"/>
              <w:left w:type="dxa" w:w="80"/>
              <w:bottom w:type="dxa" w:w="40"/>
              <w:right w:type="dxa" w:w="80"/>
            </w:tcMar>
          </w:tcPr>
          <w:p>
            <w:r>
              <w:rPr>
                <w:rFonts w:ascii="Arial" w:cs="Arial" w:eastAsia="Arial" w:hAnsi="Arial"/>
                <w:b/>
                <w:bCs/>
                <w:sz w:val="18"/>
                <w:szCs w:val="18"/>
              </w:rPr>
              <w:t xml:space="preserve">RELATED EXPOSURE</w:t>
            </w:r>
          </w:p>
        </w:tc>
        <w:tc>
          <w:tcPr>
            <w:tcMar>
              <w:top w:type="dxa" w:w="40"/>
              <w:left w:type="dxa" w:w="80"/>
              <w:bottom w:type="dxa" w:w="40"/>
              <w:right w:type="dxa" w:w="80"/>
            </w:tcMar>
          </w:tcPr>
          <w:p>
            <w:pPr>
              <w:jc w:val="right"/>
            </w:pPr>
            <w:r>
              <w:rPr>
                <w:rFonts w:ascii="Arial" w:cs="Arial" w:eastAsia="Arial" w:hAnsi="Arial"/>
                <w:sz w:val="18"/>
                <w:szCs w:val="18"/>
              </w:rPr>
              <w:t xml:space="preserve">NIL</w:t>
            </w:r>
          </w:p>
        </w:tc>
        <w:tc>
          <w:tcPr>
            <w:gridSpan w:val="4"/>
            <w:tcMar>
              <w:top w:type="dxa" w:w="40"/>
              <w:left w:type="dxa" w:w="80"/>
              <w:bottom w:type="dxa" w:w="40"/>
              <w:right w:type="dxa" w:w="80"/>
            </w:tcMar>
          </w:tcPr>
          <w:p>
            <w:r>
              <w:rPr>
                <w:rFonts w:ascii="Arial" w:cs="Arial" w:eastAsia="Arial" w:hAnsi="Arial"/>
                <w:sz w:val="18"/>
                <w:szCs w:val="18"/>
              </w:rPr>
              <w:t xml:space="preserve"/>
            </w:r>
          </w:p>
        </w:tc>
      </w:tr>
      <w:tr>
        <w:tc>
          <w:tcPr>
            <w:gridSpan w:val="3"/>
            <w:shd w:fill="D9D9D9" w:color="auto" w:val="clear"/>
            <w:tcMar>
              <w:top w:type="dxa" w:w="40"/>
              <w:left w:type="dxa" w:w="80"/>
              <w:bottom w:type="dxa" w:w="40"/>
              <w:right w:type="dxa" w:w="80"/>
            </w:tcMar>
          </w:tcPr>
          <w:p>
            <w:r>
              <w:rPr>
                <w:rFonts w:ascii="Arial" w:cs="Arial" w:eastAsia="Arial" w:hAnsi="Arial"/>
                <w:b/>
                <w:bCs/>
                <w:sz w:val="18"/>
                <w:szCs w:val="18"/>
              </w:rPr>
              <w:t xml:space="preserve">GRAND TOTAL</w:t>
            </w:r>
          </w:p>
        </w:tc>
        <w:tc>
          <w:tcPr>
            <w:shd w:fill="D9D9D9" w:color="auto" w:val="clear"/>
            <w:tcMar>
              <w:top w:type="dxa" w:w="40"/>
              <w:left w:type="dxa" w:w="80"/>
              <w:bottom w:type="dxa" w:w="40"/>
              <w:right w:type="dxa" w:w="80"/>
            </w:tcMar>
          </w:tcPr>
          <w:p>
            <w:pPr>
              <w:jc w:val="right"/>
            </w:pPr>
            <w:r>
              <w:rPr>
                <w:rFonts w:ascii="Arial" w:cs="Arial" w:eastAsia="Arial" w:hAnsi="Arial"/>
                <w:b/>
                <w:bCs/>
                <w:sz w:val="18"/>
                <w:szCs w:val="18"/>
              </w:rPr>
              <w:t xml:space="preserve">91,250,000</w:t>
            </w:r>
          </w:p>
        </w:tc>
        <w:tc>
          <w:tcPr>
            <w:gridSpan w:val="4"/>
            <w:shd w:fill="D9D9D9" w:color="auto" w:val="clea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sz w:val="20"/>
          <w:szCs w:val="20"/>
        </w:rPr>
        <w:t xml:space="preserve"/>
      </w:r>
    </w:p>
    <w:p>
      <w:pPr>
        <w:spacing w:after="120"/>
      </w:pPr>
      <w:r>
        <w:rPr>
          <w:rFonts w:ascii="Arial" w:cs="Arial" w:eastAsia="Arial" w:hAnsi="Arial"/>
          <w:b/>
          <w:bCs/>
          <w:sz w:val="20"/>
          <w:szCs w:val="20"/>
        </w:rPr>
        <w:t xml:space="preserve">Business Unit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c>
          <w:tcPr>
            <w:tcMar>
              <w:top w:type="dxa" w:w="40"/>
              <w:left w:type="dxa" w:w="80"/>
              <w:bottom w:type="dxa" w:w="40"/>
              <w:right w:type="dxa" w:w="80"/>
            </w:tcMar>
          </w:tcPr>
          <w:p>
            <w:r>
              <w:rPr>
                <w:rFonts w:ascii="Arial" w:cs="Arial" w:eastAsia="Arial" w:hAnsi="Arial"/>
                <w:b/>
                <w:bCs/>
                <w:sz w:val="18"/>
                <w:szCs w:val="18"/>
              </w:rPr>
              <w:t xml:space="preserve">Prepared by</w:t>
            </w:r>
          </w:p>
          <w:p>
            <w:r>
              <w:rPr>
                <w:rFonts w:ascii="Arial" w:cs="Arial" w:eastAsia="Arial" w:hAnsi="Arial"/>
                <w:sz w:val="18"/>
                <w:szCs w:val="18"/>
              </w:rPr>
              <w:t xml:space="preserve">Person 1</w:t>
            </w:r>
          </w:p>
          <w:p>
            <w:r>
              <w:rPr>
                <w:rFonts w:ascii="Arial" w:cs="Arial" w:eastAsia="Arial" w:hAnsi="Arial"/>
                <w:color w:val="595959"/>
                <w:sz w:val="16"/>
                <w:szCs w:val="16"/>
              </w:rPr>
              <w:t xml:space="preserve">Relationship Manager</w:t>
            </w:r>
          </w:p>
          <w:p>
            <w:r>
              <w:rPr>
                <w:rFonts w:ascii="Arial" w:cs="Arial" w:eastAsia="Arial" w:hAnsi="Arial"/>
                <w:i/>
                <w:iCs/>
                <w:color w:val="595959"/>
                <w:sz w:val="14"/>
                <w:szCs w:val="14"/>
              </w:rPr>
              <w:t xml:space="preserve">e-signed 04 Sept 2026 15:23</w:t>
            </w:r>
          </w:p>
        </w:tc>
        <w:tc>
          <w:tcPr>
            <w:tcMar>
              <w:top w:type="dxa" w:w="40"/>
              <w:left w:type="dxa" w:w="80"/>
              <w:bottom w:type="dxa" w:w="40"/>
              <w:right w:type="dxa" w:w="80"/>
            </w:tcMar>
          </w:tcPr>
          <w:p>
            <w:r>
              <w:rPr>
                <w:rFonts w:ascii="Arial" w:cs="Arial" w:eastAsia="Arial" w:hAnsi="Arial"/>
                <w:b/>
                <w:bCs/>
                <w:sz w:val="18"/>
                <w:szCs w:val="18"/>
              </w:rPr>
              <w:t xml:space="preserve">Recommended by</w:t>
            </w:r>
          </w:p>
          <w:p>
            <w:r>
              <w:rPr>
                <w:rFonts w:ascii="Arial" w:cs="Arial" w:eastAsia="Arial" w:hAnsi="Arial"/>
                <w:sz w:val="18"/>
                <w:szCs w:val="18"/>
              </w:rPr>
              <w:t xml:space="preserve">Person 1</w:t>
            </w:r>
          </w:p>
          <w:p>
            <w:r>
              <w:rPr>
                <w:rFonts w:ascii="Arial" w:cs="Arial" w:eastAsia="Arial" w:hAnsi="Arial"/>
                <w:color w:val="595959"/>
                <w:sz w:val="16"/>
                <w:szCs w:val="16"/>
              </w:rPr>
              <w:t xml:space="preserve">Relationship Manager</w:t>
            </w:r>
          </w:p>
          <w:p>
            <w:r>
              <w:rPr>
                <w:rFonts w:ascii="Arial" w:cs="Arial" w:eastAsia="Arial" w:hAnsi="Arial"/>
                <w:i/>
                <w:iCs/>
                <w:color w:val="595959"/>
                <w:sz w:val="14"/>
                <w:szCs w:val="14"/>
              </w:rPr>
              <w:t xml:space="preserve">e-signed 04 Sept 2026 15:26</w:t>
            </w:r>
          </w:p>
        </w:tc>
        <w:tc>
          <w:tcPr>
            <w:tcMar>
              <w:top w:type="dxa" w:w="40"/>
              <w:left w:type="dxa" w:w="80"/>
              <w:bottom w:type="dxa" w:w="40"/>
              <w:right w:type="dxa" w:w="80"/>
            </w:tcMar>
          </w:tcPr>
          <w:p>
            <w:r>
              <w:rPr>
                <w:rFonts w:ascii="Arial" w:cs="Arial" w:eastAsia="Arial" w:hAnsi="Arial"/>
                <w:b/>
                <w:bCs/>
                <w:sz w:val="18"/>
                <w:szCs w:val="18"/>
              </w:rPr>
              <w:t xml:space="preserve">Concurred by</w:t>
            </w:r>
          </w:p>
          <w:p>
            <w:r>
              <w:rPr>
                <w:rFonts w:ascii="Arial" w:cs="Arial" w:eastAsia="Arial" w:hAnsi="Arial"/>
                <w:sz w:val="18"/>
                <w:szCs w:val="18"/>
              </w:rPr>
              <w:t xml:space="preserve">Person 1</w:t>
            </w:r>
          </w:p>
          <w:p>
            <w:r>
              <w:rPr>
                <w:rFonts w:ascii="Arial" w:cs="Arial" w:eastAsia="Arial" w:hAnsi="Arial"/>
                <w:color w:val="595959"/>
                <w:sz w:val="16"/>
                <w:szCs w:val="16"/>
              </w:rPr>
              <w:t xml:space="preserve">Relationship Manager</w:t>
            </w:r>
          </w:p>
          <w:p>
            <w:r>
              <w:rPr>
                <w:rFonts w:ascii="Arial" w:cs="Arial" w:eastAsia="Arial" w:hAnsi="Arial"/>
                <w:i/>
                <w:iCs/>
                <w:color w:val="595959"/>
                <w:sz w:val="14"/>
                <w:szCs w:val="14"/>
              </w:rPr>
              <w:t xml:space="preserve">e-signed 04 Sept 2026 15:26</w:t>
            </w:r>
          </w:p>
        </w:tc>
      </w:tr>
    </w:tbl>
    <w:p>
      <w:pPr>
        <w:spacing w:after="120"/>
      </w:pPr>
      <w:r>
        <w:rPr>
          <w:rFonts w:ascii="Arial" w:cs="Arial" w:eastAsia="Arial" w:hAnsi="Arial"/>
          <w:sz w:val="20"/>
          <w:szCs w:val="20"/>
        </w:rPr>
        <w:t xml:space="preserve"/>
      </w:r>
    </w:p>
    <w:p>
      <w:pPr>
        <w:spacing w:after="120"/>
      </w:pPr>
      <w:r>
        <w:rPr>
          <w:rFonts w:ascii="Arial" w:cs="Arial" w:eastAsia="Arial" w:hAnsi="Arial"/>
          <w:b/>
          <w:bCs/>
          <w:sz w:val="20"/>
          <w:szCs w:val="20"/>
        </w:rPr>
        <w:t xml:space="preserve">Risk Management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Mar>
              <w:top w:type="dxa" w:w="40"/>
              <w:left w:type="dxa" w:w="80"/>
              <w:bottom w:type="dxa" w:w="40"/>
              <w:right w:type="dxa" w:w="80"/>
            </w:tcMar>
          </w:tcPr>
          <w:p>
            <w:r>
              <w:rPr>
                <w:rFonts w:ascii="Arial" w:cs="Arial" w:eastAsia="Arial" w:hAnsi="Arial"/>
                <w:b/>
                <w:bCs/>
                <w:sz w:val="18"/>
                <w:szCs w:val="18"/>
              </w:rPr>
              <w:t xml:space="preserve">Reviewed by</w:t>
            </w:r>
          </w:p>
          <w:p>
            <w:r>
              <w:rPr>
                <w:rFonts w:ascii="Arial" w:cs="Arial" w:eastAsia="Arial" w:hAnsi="Arial"/>
                <w:sz w:val="18"/>
                <w:szCs w:val="18"/>
              </w:rPr>
              <w:t xml:space="preserve">Person 2</w:t>
            </w:r>
          </w:p>
          <w:p>
            <w:r>
              <w:rPr>
                <w:rFonts w:ascii="Arial" w:cs="Arial" w:eastAsia="Arial" w:hAnsi="Arial"/>
                <w:color w:val="595959"/>
                <w:sz w:val="16"/>
                <w:szCs w:val="16"/>
              </w:rPr>
              <w:t xml:space="preserve">Head of Private Banking</w:t>
            </w:r>
          </w:p>
          <w:p>
            <w:r>
              <w:rPr>
                <w:rFonts w:ascii="Arial" w:cs="Arial" w:eastAsia="Arial" w:hAnsi="Arial"/>
                <w:i/>
                <w:iCs/>
                <w:color w:val="595959"/>
                <w:sz w:val="14"/>
                <w:szCs w:val="14"/>
              </w:rPr>
              <w:t xml:space="preserve">e-signed 05 Sept 2026 17:12</w:t>
            </w:r>
          </w:p>
        </w:tc>
        <w:tc>
          <w:tcPr>
            <w:tcMar>
              <w:top w:type="dxa" w:w="40"/>
              <w:left w:type="dxa" w:w="80"/>
              <w:bottom w:type="dxa" w:w="40"/>
              <w:right w:type="dxa" w:w="80"/>
            </w:tcMar>
          </w:tcPr>
          <w:p>
            <w:r>
              <w:rPr>
                <w:rFonts w:ascii="Arial" w:cs="Arial" w:eastAsia="Arial" w:hAnsi="Arial"/>
                <w:b/>
                <w:bCs/>
                <w:sz w:val="18"/>
                <w:szCs w:val="18"/>
              </w:rPr>
              <w:t xml:space="preserve">Concurred by</w:t>
            </w:r>
          </w:p>
          <w:p>
            <w:r>
              <w:rPr>
                <w:rFonts w:ascii="Arial" w:cs="Arial" w:eastAsia="Arial" w:hAnsi="Arial"/>
                <w:sz w:val="18"/>
                <w:szCs w:val="18"/>
              </w:rPr>
              <w:t xml:space="preserve">Person 2</w:t>
            </w:r>
          </w:p>
          <w:p>
            <w:r>
              <w:rPr>
                <w:rFonts w:ascii="Arial" w:cs="Arial" w:eastAsia="Arial" w:hAnsi="Arial"/>
                <w:color w:val="595959"/>
                <w:sz w:val="16"/>
                <w:szCs w:val="16"/>
              </w:rPr>
              <w:t xml:space="preserve">Head of Private Banking</w:t>
            </w:r>
          </w:p>
          <w:p>
            <w:r>
              <w:rPr>
                <w:rFonts w:ascii="Arial" w:cs="Arial" w:eastAsia="Arial" w:hAnsi="Arial"/>
                <w:i/>
                <w:iCs/>
                <w:color w:val="595959"/>
                <w:sz w:val="14"/>
                <w:szCs w:val="14"/>
              </w:rPr>
              <w:t xml:space="preserve">e-signed 05 Sept 2026 17:12</w:t>
            </w:r>
          </w:p>
        </w:tc>
      </w:tr>
      <w:tr>
        <w:tc>
          <w:tcPr>
            <w:gridSpan w:val="2"/>
            <w:tcMar>
              <w:top w:type="dxa" w:w="40"/>
              <w:left w:type="dxa" w:w="80"/>
              <w:bottom w:type="dxa" w:w="40"/>
              <w:right w:type="dxa" w:w="80"/>
            </w:tcMar>
          </w:tcPr>
          <w:p>
            <w:r>
              <w:rPr>
                <w:rFonts w:ascii="Arial" w:cs="Arial" w:eastAsia="Arial" w:hAnsi="Arial"/>
                <w:b/>
                <w:bCs/>
                <w:sz w:val="18"/>
                <w:szCs w:val="18"/>
              </w:rPr>
              <w:t xml:space="preserve">Condition(s) for Approval:</w:t>
            </w:r>
          </w:p>
          <w:p>
            <w:pPr>
              <w:pStyle w:val="ListParagraph"/>
              <w:numPr>
                <w:ilvl w:val="0"/>
                <w:numId w:val="1"/>
              </w:numPr>
            </w:pPr>
            <w:r>
              <w:rPr>
                <w:rFonts w:ascii="Arial" w:cs="Arial" w:eastAsia="Arial" w:hAnsi="Arial"/>
                <w:sz w:val="18"/>
                <w:szCs w:val="18"/>
              </w:rPr>
              <w:t xml:space="preserve">Sponsors not caputured</w:t>
            </w:r>
          </w:p>
          <w:p>
            <w:pPr>
              <w:pStyle w:val="ListParagraph"/>
              <w:numPr>
                <w:ilvl w:val="0"/>
                <w:numId w:val="1"/>
              </w:numPr>
            </w:pPr>
            <w:r>
              <w:rPr>
                <w:rFonts w:ascii="Arial" w:cs="Arial" w:eastAsia="Arial" w:hAnsi="Arial"/>
                <w:sz w:val="18"/>
                <w:szCs w:val="18"/>
              </w:rPr>
              <w:t xml:space="preserve">Company info not captured</w:t>
            </w:r>
          </w:p>
        </w:tc>
      </w:tr>
    </w:tbl>
    <w:p>
      <w:r>
        <w:br w:type="page"/>
      </w:r>
    </w:p>
    <w:p>
      <w:pPr>
        <w:pStyle w:val="Heading1"/>
        <w:spacing w:after="120" w:before="240"/>
      </w:pPr>
      <w:r>
        <w:rPr>
          <w:rFonts w:ascii="Arial" w:cs="Arial" w:eastAsia="Arial" w:hAnsi="Arial"/>
          <w:b/>
          <w:bCs/>
          <w:color w:val="1F3864"/>
          <w:sz w:val="26"/>
          <w:szCs w:val="26"/>
        </w:rPr>
        <w:t xml:space="preserve">I. Nature of Request</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request is for a Demand Loan of USD 25,000,000K, stated as equivalent to QAR 91,250,000K at the fixed parity of 3.65, with a tenor of 25 years and an availability period of two years. The stated purpose is office revamp. Pricing is 3M SOFR plus 4.00%, with a commitment fee of 0.50%, management fee of 0.25% and prepayment fee of 1.00%; the maximum all-in rate is not specified. The proposed security parameters comprise an LTV cap of 70%, top-up trigger of 75%, liquidation trigger of 85% and security coverage of 117%. A refinance carve-out of USD 25,000K is stated, with Qatari law as governing law. QCB approval for FX lending is a regulatory prerequisite. (Source: application form)</w:t>
      </w:r>
    </w:p>
    <w:p>
      <w:pPr>
        <w:spacing w:after="120"/>
        <w:jc w:val="both"/>
      </w:pPr>
      <w:r>
        <w:rPr>
          <w:rFonts w:ascii="Arial" w:cs="Arial" w:eastAsia="Arial" w:hAnsi="Arial"/>
          <w:sz w:val="20"/>
          <w:szCs w:val="20"/>
        </w:rPr>
        <w:t xml:space="preserve">[Analyst to confirm: The stated USD and QAR amounts use “K” notation, while the facility summary is presented in QAR 000s and shows a proposed amount of QAR 91,250,000; confirm the intended facility amount and units.]</w:t>
      </w:r>
    </w:p>
    <w:p>
      <w:pPr>
        <w:pStyle w:val="Heading2"/>
        <w:spacing w:after="120" w:before="240"/>
      </w:pPr>
      <w:r>
        <w:rPr>
          <w:rFonts w:ascii="Arial" w:cs="Arial" w:eastAsia="Arial" w:hAnsi="Arial"/>
          <w:b/>
          <w:bCs/>
          <w:color w:val="1F3864"/>
          <w:sz w:val="22"/>
          <w:szCs w:val="22"/>
        </w:rPr>
        <w:t xml:space="preserve">Brief Details of Borrower</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application identifies the borrower as Sallam International; however, the supplied financial statements identify the reporting entity as Salam International Investment Limited Q.P.S.C.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 The latter is a Qatari public shareholding company based on its legal designation. The supplied information does not provide the borrower’s licence number, domicile, incorporation date, ownership details, stated incorporation purpose or a complete group structure.</w:t>
      </w:r>
    </w:p>
    <w:p>
      <w:pPr>
        <w:spacing w:after="120"/>
        <w:jc w:val="both"/>
      </w:pPr>
      <w:r>
        <w:rPr>
          <w:rFonts w:ascii="Arial" w:cs="Arial" w:eastAsia="Arial" w:hAnsi="Arial"/>
          <w:sz w:val="20"/>
          <w:szCs w:val="20"/>
        </w:rPr>
        <w:t xml:space="preserve">The audited FY2025 financial statements were audited by KPMG and received an unqualified opinion.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 The financial information indicates a sizeable operating business with FY2025 revenue of QAR 1,866,204 thousand and net profit of QAR 102,343 thousand. (Source: SIIL FS March English 2025.pdf, p.4)</w:t>
      </w:r>
    </w:p>
    <w:p>
      <w:pPr>
        <w:spacing w:after="120"/>
        <w:jc w:val="both"/>
      </w:pPr>
      <w:r>
        <w:rPr>
          <w:rFonts w:ascii="Arial" w:cs="Arial" w:eastAsia="Arial" w:hAnsi="Arial"/>
          <w:sz w:val="20"/>
          <w:szCs w:val="20"/>
        </w:rPr>
        <w:t xml:space="preserve">[Analyst to confirm: legal identity and relationship between “Sallam International” in the application and “Salam International Investment Limited Q.P.S.C.” in the financial statements, together with licence, domicile, incorporation, ownership and group details.]</w:t>
      </w:r>
    </w:p>
    <w:p>
      <w:pPr>
        <w:pStyle w:val="Heading2"/>
        <w:spacing w:after="120" w:before="240"/>
      </w:pPr>
      <w:r>
        <w:rPr>
          <w:rFonts w:ascii="Arial" w:cs="Arial" w:eastAsia="Arial" w:hAnsi="Arial"/>
          <w:b/>
          <w:bCs/>
          <w:color w:val="1F3864"/>
          <w:sz w:val="22"/>
          <w:szCs w:val="22"/>
        </w:rPr>
        <w:t xml:space="preserve">Brief Details of Guarantor</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No guarantor is identified in the application or supplied document pack. The financial statements disclose that certain existing borrowings are supported by corporate and/or cross-corporate guarantees, but they do not identify a proposed guarantor for the requested facility.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p.66)</w:t>
      </w:r>
    </w:p>
    <w:p>
      <w:pPr>
        <w:spacing w:after="120"/>
        <w:jc w:val="both"/>
      </w:pPr>
      <w:r>
        <w:rPr>
          <w:rFonts w:ascii="Arial" w:cs="Arial" w:eastAsia="Arial" w:hAnsi="Arial"/>
          <w:sz w:val="20"/>
          <w:szCs w:val="20"/>
        </w:rPr>
        <w:t xml:space="preserve">Accordingly, no assessment can be made of a guarantor’s financial capacity, strategy, ownership, relationship with the borrower or enforceability of the proposed support. The application also does not specify whether the facility is to benefit from a corporate guarantee, personal guarantee or other form of sponsor support.</w:t>
      </w:r>
    </w:p>
    <w:p>
      <w:pPr>
        <w:spacing w:after="120"/>
        <w:jc w:val="both"/>
      </w:pPr>
      <w:r>
        <w:rPr>
          <w:rFonts w:ascii="Arial" w:cs="Arial" w:eastAsia="Arial" w:hAnsi="Arial"/>
          <w:sz w:val="20"/>
          <w:szCs w:val="20"/>
        </w:rPr>
        <w:t xml:space="preserve">[Analyst to confirm: whether any guarantee is proposed; if applicable, provide the guarantor’s legal name, ownership, financial information, strategy, relationship with the borrower and executed or draft guarantee terms.]</w:t>
      </w:r>
    </w:p>
    <w:p>
      <w:pPr>
        <w:pStyle w:val="Heading2"/>
        <w:spacing w:after="120" w:before="240"/>
      </w:pPr>
      <w:r>
        <w:rPr>
          <w:rFonts w:ascii="Arial" w:cs="Arial" w:eastAsia="Arial" w:hAnsi="Arial"/>
          <w:b/>
          <w:bCs/>
          <w:color w:val="1F3864"/>
          <w:sz w:val="22"/>
          <w:szCs w:val="22"/>
        </w:rPr>
        <w:t xml:space="preserve">Overview of the Transaction</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proposed transaction is a new Demand Loan intended for office revamp purposes, with a stated availability period of two years and a contractual tenor of 25 years. Pricing is proposed at 3M SOFR plus 4.00%, together with the stated commitment, management and prepayment fees. (Source: application form)</w:t>
      </w:r>
    </w:p>
    <w:p>
      <w:pPr>
        <w:spacing w:after="120"/>
        <w:jc w:val="both"/>
      </w:pPr>
      <w:r>
        <w:rPr>
          <w:rFonts w:ascii="Arial" w:cs="Arial" w:eastAsia="Arial" w:hAnsi="Arial"/>
          <w:sz w:val="20"/>
          <w:szCs w:val="20"/>
        </w:rPr>
        <w:t xml:space="preserve">The term sheet refers to pledged securities/fund units and provides an LTV framework, indicating that the intended repayment or risk-mitigation structure may involve security-backed lending. However, the supplied information does not identify the fund pool, investment assets, fund manager, custody arrangement, eligible investments, valuation basis or ownership of the proposed investments. No Sharia-compliant structure is specified; the requested instrument is described as a Demand Loan.</w:t>
      </w:r>
    </w:p>
    <w:p>
      <w:pPr>
        <w:spacing w:after="120"/>
        <w:jc w:val="both"/>
      </w:pPr>
      <w:r>
        <w:rPr>
          <w:rFonts w:ascii="Arial" w:cs="Arial" w:eastAsia="Arial" w:hAnsi="Arial"/>
          <w:sz w:val="20"/>
          <w:szCs w:val="20"/>
        </w:rPr>
        <w:t xml:space="preserve">The proposed collateral amount in the facility limit summary is QAR 29,250,000, while the stated security coverage is 117%. (Source: application form) The legal ownership, perfection, ranking and availability of the proposed collateral have not been evidenced.</w:t>
      </w:r>
    </w:p>
    <w:p>
      <w:pPr>
        <w:spacing w:after="120"/>
        <w:jc w:val="both"/>
      </w:pPr>
      <w:r>
        <w:rPr>
          <w:rFonts w:ascii="Arial" w:cs="Arial" w:eastAsia="Arial" w:hAnsi="Arial"/>
          <w:sz w:val="20"/>
          <w:szCs w:val="20"/>
        </w:rPr>
        <w:t xml:space="preserve">[Analyst to confirm: fund pool and investments, custody and pledge arrangements, collateral valuation, proposed security documents, and whether any Sharia-compliant structure is intended.]</w:t>
      </w:r>
    </w:p>
    <w:p>
      <w:pPr>
        <w:pStyle w:val="Heading2"/>
        <w:spacing w:after="120" w:before="240"/>
      </w:pPr>
      <w:r>
        <w:rPr>
          <w:rFonts w:ascii="Arial" w:cs="Arial" w:eastAsia="Arial" w:hAnsi="Arial"/>
          <w:b/>
          <w:bCs/>
          <w:color w:val="1F3864"/>
          <w:sz w:val="22"/>
          <w:szCs w:val="22"/>
        </w:rPr>
        <w:t xml:space="preserve">Modus Operandi</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term sheet contemplates pledge-based risk controls through an LTV cap of 70%, a top-up trigger at 75% and a liquidation trigger at 85%. On the stated parameters, the top-up threshold provides a 5 percentage-point headroom above the initial LTV cap, while the liquidation threshold provides a 15 percentage-point headroom above the initial cap. Security coverage is stated at 117%, equivalent to a 17% excess over the proposed exposure on the stated basis. (Source: application form)</w:t>
      </w:r>
    </w:p>
    <w:p>
      <w:pPr>
        <w:spacing w:after="120"/>
        <w:jc w:val="both"/>
      </w:pPr>
      <w:r>
        <w:rPr>
          <w:rFonts w:ascii="Arial" w:cs="Arial" w:eastAsia="Arial" w:hAnsi="Arial"/>
          <w:sz w:val="20"/>
          <w:szCs w:val="20"/>
        </w:rPr>
        <w:t xml:space="preserve">The term sheet also provides for a 0.50% commitment fee, 0.25% management fee and 1.00% prepayment fee. (Source: application form) However, the operating mechanics have not been supplied, including eligible collateral criteria, independent valuation frequency, NAV reporting, margin-call timelines, top-up form, liquidation authority, custody controls, pledge validity and renewal requirements, and treatment of income or distributions generated by the pledged assets.</w:t>
      </w:r>
    </w:p>
    <w:p>
      <w:pPr>
        <w:spacing w:after="120"/>
        <w:jc w:val="both"/>
      </w:pPr>
      <w:r>
        <w:rPr>
          <w:rFonts w:ascii="Arial" w:cs="Arial" w:eastAsia="Arial" w:hAnsi="Arial"/>
          <w:sz w:val="20"/>
          <w:szCs w:val="20"/>
        </w:rPr>
        <w:t xml:space="preserve">[Analyst to confirm: collateral valuation and monitoring methodology, NAV reporting frequency, drawdown and margin-call procedures, enforcement rights, pledge perfection, renewal requirements and fee calculation basis.]</w:t>
      </w:r>
    </w:p>
    <w:p>
      <w:pPr>
        <w:pStyle w:val="Heading1"/>
        <w:spacing w:after="120" w:before="240"/>
      </w:pPr>
      <w:r>
        <w:rPr>
          <w:rFonts w:ascii="Arial" w:cs="Arial" w:eastAsia="Arial" w:hAnsi="Arial"/>
          <w:b/>
          <w:bCs/>
          <w:color w:val="1F3864"/>
          <w:sz w:val="26"/>
          <w:szCs w:val="26"/>
        </w:rPr>
        <w:t xml:space="preserve">II. Terms Sheet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Facility Type</w:t>
            </w:r>
          </w:p>
        </w:tc>
        <w:tc>
          <w:tcPr>
            <w:tcW w:type="pct" w:w="75%"/>
            <w:tcMar>
              <w:top w:type="dxa" w:w="40"/>
              <w:left w:type="dxa" w:w="80"/>
              <w:bottom w:type="dxa" w:w="40"/>
              <w:right w:type="dxa" w:w="80"/>
            </w:tcMar>
          </w:tcPr>
          <w:p>
            <w:r>
              <w:rPr>
                <w:rFonts w:ascii="Arial" w:cs="Arial" w:eastAsia="Arial" w:hAnsi="Arial"/>
                <w:sz w:val="18"/>
                <w:szCs w:val="18"/>
              </w:rPr>
              <w:t xml:space="preserve">Demand Loan</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Facility Amount</w:t>
            </w:r>
          </w:p>
        </w:tc>
        <w:tc>
          <w:tcPr>
            <w:tcW w:type="pct" w:w="75%"/>
            <w:tcMar>
              <w:top w:type="dxa" w:w="40"/>
              <w:left w:type="dxa" w:w="80"/>
              <w:bottom w:type="dxa" w:w="40"/>
              <w:right w:type="dxa" w:w="80"/>
            </w:tcMar>
          </w:tcPr>
          <w:p>
            <w:r>
              <w:rPr>
                <w:rFonts w:ascii="Arial" w:cs="Arial" w:eastAsia="Arial" w:hAnsi="Arial"/>
                <w:sz w:val="18"/>
                <w:szCs w:val="18"/>
              </w:rPr>
              <w:t xml:space="preserve">USD 25,000.0 MM (QAR 91,250,000K)</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5%"/>
            <w:tcMar>
              <w:top w:type="dxa" w:w="40"/>
              <w:left w:type="dxa" w:w="80"/>
              <w:bottom w:type="dxa" w:w="40"/>
              <w:right w:type="dxa" w:w="80"/>
            </w:tcMar>
          </w:tcPr>
          <w:p>
            <w:r>
              <w:rPr>
                <w:rFonts w:ascii="Arial" w:cs="Arial" w:eastAsia="Arial" w:hAnsi="Arial"/>
                <w:sz w:val="18"/>
                <w:szCs w:val="18"/>
              </w:rPr>
              <w:t xml:space="preserve">Office Revamp</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Interest Rate</w:t>
            </w:r>
          </w:p>
        </w:tc>
        <w:tc>
          <w:tcPr>
            <w:tcW w:type="pct" w:w="75%"/>
            <w:tcMar>
              <w:top w:type="dxa" w:w="40"/>
              <w:left w:type="dxa" w:w="80"/>
              <w:bottom w:type="dxa" w:w="40"/>
              <w:right w:type="dxa" w:w="80"/>
            </w:tcMar>
          </w:tcPr>
          <w:p>
            <w:r>
              <w:rPr>
                <w:rFonts w:ascii="Arial" w:cs="Arial" w:eastAsia="Arial" w:hAnsi="Arial"/>
                <w:sz w:val="18"/>
                <w:szCs w:val="18"/>
              </w:rPr>
              <w:t xml:space="preserve">3M SOFR + 4.00% p.a.</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Management Fee</w:t>
            </w:r>
          </w:p>
        </w:tc>
        <w:tc>
          <w:tcPr>
            <w:tcW w:type="pct" w:w="75%"/>
            <w:tcMar>
              <w:top w:type="dxa" w:w="40"/>
              <w:left w:type="dxa" w:w="80"/>
              <w:bottom w:type="dxa" w:w="40"/>
              <w:right w:type="dxa" w:w="80"/>
            </w:tcMar>
          </w:tcPr>
          <w:p>
            <w:r>
              <w:rPr>
                <w:rFonts w:ascii="Arial" w:cs="Arial" w:eastAsia="Arial" w:hAnsi="Arial"/>
                <w:sz w:val="18"/>
                <w:szCs w:val="18"/>
              </w:rPr>
              <w:t xml:space="preserve">0.25% p.a. on the facility limit</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Commitment Fee</w:t>
            </w:r>
          </w:p>
        </w:tc>
        <w:tc>
          <w:tcPr>
            <w:tcW w:type="pct" w:w="75%"/>
            <w:tcMar>
              <w:top w:type="dxa" w:w="40"/>
              <w:left w:type="dxa" w:w="80"/>
              <w:bottom w:type="dxa" w:w="40"/>
              <w:right w:type="dxa" w:w="80"/>
            </w:tcMar>
          </w:tcPr>
          <w:p>
            <w:r>
              <w:rPr>
                <w:rFonts w:ascii="Arial" w:cs="Arial" w:eastAsia="Arial" w:hAnsi="Arial"/>
                <w:sz w:val="18"/>
                <w:szCs w:val="18"/>
              </w:rPr>
              <w:t xml:space="preserve">0.50% p.a. on the undisbursed balance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Prepayment Fee</w:t>
            </w:r>
          </w:p>
        </w:tc>
        <w:tc>
          <w:tcPr>
            <w:tcW w:type="pct" w:w="75%"/>
            <w:tcMar>
              <w:top w:type="dxa" w:w="40"/>
              <w:left w:type="dxa" w:w="80"/>
              <w:bottom w:type="dxa" w:w="40"/>
              <w:right w:type="dxa" w:w="80"/>
            </w:tcMar>
          </w:tcPr>
          <w:p>
            <w:r>
              <w:rPr>
                <w:rFonts w:ascii="Arial" w:cs="Arial" w:eastAsia="Arial" w:hAnsi="Arial"/>
                <w:sz w:val="18"/>
                <w:szCs w:val="18"/>
              </w:rPr>
              <w:t xml:space="preserve">1.00%</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Tenor</w:t>
            </w:r>
          </w:p>
        </w:tc>
        <w:tc>
          <w:tcPr>
            <w:tcW w:type="pct" w:w="75%"/>
            <w:tcMar>
              <w:top w:type="dxa" w:w="40"/>
              <w:left w:type="dxa" w:w="80"/>
              <w:bottom w:type="dxa" w:w="40"/>
              <w:right w:type="dxa" w:w="80"/>
            </w:tcMar>
          </w:tcPr>
          <w:p>
            <w:r>
              <w:rPr>
                <w:rFonts w:ascii="Arial" w:cs="Arial" w:eastAsia="Arial" w:hAnsi="Arial"/>
                <w:sz w:val="18"/>
                <w:szCs w:val="18"/>
              </w:rPr>
              <w:t xml:space="preserve">25 years (2-year availability period)</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Disbursement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Facility to be booked as a new Demand Loan, subject to confirmation of the final approved amount and unit of denomination. (Source: application form)</w:t>
            </w:r>
          </w:p>
          <w:p>
            <w:pPr>
              <w:pStyle w:val="ListParagraph"/>
              <w:numPr>
                <w:ilvl w:val="0"/>
                <w:numId w:val="1"/>
              </w:numPr>
              <w:spacing w:after="60"/>
            </w:pPr>
            <w:r>
              <w:rPr>
                <w:rFonts w:ascii="Arial" w:cs="Arial" w:eastAsia="Arial" w:hAnsi="Arial"/>
                <w:sz w:val="20"/>
                <w:szCs w:val="20"/>
              </w:rPr>
              <w:t xml:space="preserve">Availability period stated as two years; tranche booking rules and minimum drawdown amounts are not specified. (Source: application form)</w:t>
            </w:r>
          </w:p>
          <w:p>
            <w:pPr>
              <w:pStyle w:val="ListParagraph"/>
              <w:numPr>
                <w:ilvl w:val="0"/>
                <w:numId w:val="1"/>
              </w:numPr>
              <w:spacing w:after="60"/>
            </w:pPr>
            <w:r>
              <w:rPr>
                <w:rFonts w:ascii="Arial" w:cs="Arial" w:eastAsia="Arial" w:hAnsi="Arial"/>
                <w:sz w:val="20"/>
                <w:szCs w:val="20"/>
              </w:rPr>
              <w:t xml:space="preserve">Disbursement should be subject to completion of all required legal, KYC, collateral, custody, pledge and documentation conditions. [Analyst to confirm the detailed conditions precedent.] </w:t>
            </w:r>
          </w:p>
          <w:p>
            <w:pPr>
              <w:pStyle w:val="ListParagraph"/>
              <w:numPr>
                <w:ilvl w:val="0"/>
                <w:numId w:val="1"/>
              </w:numPr>
              <w:spacing w:after="60"/>
            </w:pPr>
            <w:r>
              <w:rPr>
                <w:rFonts w:ascii="Arial" w:cs="Arial" w:eastAsia="Arial" w:hAnsi="Arial"/>
                <w:sz w:val="20"/>
                <w:szCs w:val="20"/>
              </w:rPr>
              <w:t xml:space="preserve">QCB approval for FX lending is identified as a regulatory prerequisite. (Source: application form)</w:t>
            </w:r>
          </w:p>
          <w:p>
            <w:pPr>
              <w:pStyle w:val="ListParagraph"/>
              <w:numPr>
                <w:ilvl w:val="0"/>
                <w:numId w:val="1"/>
              </w:numPr>
              <w:spacing w:after="60"/>
            </w:pPr>
            <w:r>
              <w:rPr>
                <w:rFonts w:ascii="Arial" w:cs="Arial" w:eastAsia="Arial" w:hAnsi="Arial"/>
                <w:sz w:val="20"/>
                <w:szCs w:val="20"/>
              </w:rPr>
              <w:t xml:space="preserve">Drawdown purpose is stated as office revamp. [Analyst to confirm the permitted utilisation, evidence of expenditure and whether direct payment to contractors or vendors is required.]</w:t>
            </w:r>
          </w:p>
          <w:p>
            <w:pPr>
              <w:pStyle w:val="ListParagraph"/>
              <w:numPr>
                <w:ilvl w:val="0"/>
                <w:numId w:val="1"/>
              </w:numPr>
              <w:spacing w:after="60"/>
            </w:pPr>
            <w:r>
              <w:rPr>
                <w:rFonts w:ascii="Arial" w:cs="Arial" w:eastAsia="Arial" w:hAnsi="Arial"/>
                <w:sz w:val="20"/>
                <w:szCs w:val="20"/>
              </w:rPr>
              <w:t xml:space="preserve">[Analyst to confirm whether drawdowns are conditional upon achievement of the required LTV and security coverage, and whether the refinance carve-out may be funded separately.]</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Repayment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Interest is proposed at 3M SOFR plus 4.00%. The maximum all-in rate is not specified. (Source: application form)</w:t>
            </w:r>
          </w:p>
          <w:p>
            <w:pPr>
              <w:pStyle w:val="ListParagraph"/>
              <w:numPr>
                <w:ilvl w:val="0"/>
                <w:numId w:val="1"/>
              </w:numPr>
              <w:spacing w:after="60"/>
            </w:pPr>
            <w:r>
              <w:rPr>
                <w:rFonts w:ascii="Arial" w:cs="Arial" w:eastAsia="Arial" w:hAnsi="Arial"/>
                <w:sz w:val="20"/>
                <w:szCs w:val="20"/>
              </w:rPr>
              <w:t xml:space="preserve">A commitment fee of 0.50%, management fee of 0.25% and prepayment fee of 1.00% are stated. (Source: application form)</w:t>
            </w:r>
          </w:p>
          <w:p>
            <w:pPr>
              <w:pStyle w:val="ListParagraph"/>
              <w:numPr>
                <w:ilvl w:val="0"/>
                <w:numId w:val="1"/>
              </w:numPr>
              <w:spacing w:after="60"/>
            </w:pPr>
            <w:r>
              <w:rPr>
                <w:rFonts w:ascii="Arial" w:cs="Arial" w:eastAsia="Arial" w:hAnsi="Arial"/>
                <w:sz w:val="20"/>
                <w:szCs w:val="20"/>
              </w:rPr>
              <w:t xml:space="preserve">The stated tenor is 25 years; however, the application does not specify the interest payment frequency, principal amortisation profile, final maturity payment, instalment dates or whether the Demand Loan is repayable on demand throughout the tenor. (Source: application form)</w:t>
            </w:r>
          </w:p>
          <w:p>
            <w:pPr>
              <w:pStyle w:val="ListParagraph"/>
              <w:numPr>
                <w:ilvl w:val="0"/>
                <w:numId w:val="1"/>
              </w:numPr>
              <w:spacing w:after="60"/>
            </w:pPr>
            <w:r>
              <w:rPr>
                <w:rFonts w:ascii="Arial" w:cs="Arial" w:eastAsia="Arial" w:hAnsi="Arial"/>
                <w:sz w:val="20"/>
                <w:szCs w:val="20"/>
              </w:rPr>
              <w:t xml:space="preserve">A refinance carve-out of USD 25,000K is stated. [Analyst to confirm the underlying facility or obligation to be refinanced and the repayment flow.] </w:t>
            </w:r>
          </w:p>
          <w:p>
            <w:pPr>
              <w:pStyle w:val="ListParagraph"/>
              <w:numPr>
                <w:ilvl w:val="0"/>
                <w:numId w:val="1"/>
              </w:numPr>
              <w:spacing w:after="60"/>
            </w:pPr>
            <w:r>
              <w:rPr>
                <w:rFonts w:ascii="Arial" w:cs="Arial" w:eastAsia="Arial" w:hAnsi="Arial"/>
                <w:sz w:val="20"/>
                <w:szCs w:val="20"/>
              </w:rPr>
              <w:t xml:space="preserve">[Analyst to confirm the base-rate observation, fallback provisions, day-count convention, default interest, mandatory prepayment events, voluntary prepayment mechanics and application of proceeds from collateral liquidation.]</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Security / Support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Proposed security coverage is 117%, with an LTV cap of 70%, a top-up trigger at 75% and a liquidation trigger at 85% (Source: application form).</w:t>
            </w:r>
          </w:p>
          <w:p>
            <w:pPr>
              <w:pStyle w:val="ListParagraph"/>
              <w:numPr>
                <w:ilvl w:val="0"/>
                <w:numId w:val="1"/>
              </w:numPr>
              <w:spacing w:after="60"/>
            </w:pPr>
            <w:r>
              <w:rPr>
                <w:rFonts w:ascii="Arial" w:cs="Arial" w:eastAsia="Arial" w:hAnsi="Arial"/>
                <w:sz w:val="20"/>
                <w:szCs w:val="20"/>
              </w:rPr>
              <w:t xml:space="preserve">The Facility Limit Summary records collateral of QAR 29,250,000K against the proposed demand loan of QAR 91,250,000K (Source: application form).</w:t>
            </w:r>
          </w:p>
          <w:p>
            <w:pPr>
              <w:pStyle w:val="ListParagraph"/>
              <w:numPr>
                <w:ilvl w:val="0"/>
                <w:numId w:val="1"/>
              </w:numPr>
              <w:spacing w:after="60"/>
            </w:pPr>
            <w:r>
              <w:rPr>
                <w:rFonts w:ascii="Arial" w:cs="Arial" w:eastAsia="Arial" w:hAnsi="Arial"/>
                <w:sz w:val="20"/>
                <w:szCs w:val="20"/>
              </w:rPr>
              <w:t xml:space="preserve">The nature, legal ownership, valuation, eligibility and enforceability of the proposed collateral are not specified. [Analyst to confirm: detailed collateral description, independent valuation, ownership, perfection requirements, existing encumbrances and whether the collateral comprises pledged securities or fund units.]</w:t>
            </w:r>
          </w:p>
          <w:p>
            <w:pPr>
              <w:pStyle w:val="ListParagraph"/>
              <w:numPr>
                <w:ilvl w:val="0"/>
                <w:numId w:val="1"/>
              </w:numPr>
              <w:spacing w:after="60"/>
            </w:pPr>
            <w:r>
              <w:rPr>
                <w:rFonts w:ascii="Arial" w:cs="Arial" w:eastAsia="Arial" w:hAnsi="Arial"/>
                <w:sz w:val="20"/>
                <w:szCs w:val="20"/>
              </w:rPr>
              <w:t xml:space="preserve">The borrower’s investment properties are already mortgaged to a local bank, including investment properties valued at QAR 2,108,000,000 at 30 June 2026 (Source: SIIL -HY 2026-English Signed.pdf, p.16). Availability of these assets for additional security should therefore be confirmed.</w:t>
            </w:r>
          </w:p>
          <w:p>
            <w:pPr>
              <w:pStyle w:val="ListParagraph"/>
              <w:numPr>
                <w:ilvl w:val="0"/>
                <w:numId w:val="1"/>
              </w:numPr>
              <w:spacing w:after="60"/>
            </w:pPr>
            <w:r>
              <w:rPr>
                <w:rFonts w:ascii="Arial" w:cs="Arial" w:eastAsia="Arial" w:hAnsi="Arial"/>
                <w:sz w:val="20"/>
                <w:szCs w:val="20"/>
              </w:rPr>
              <w:t xml:space="preserve">No collateral documentation has been uploaded. [Analyst to confirm: executed pledge, mortgage or assignment documents, valuation report, insurance evidence, search reports and evidence of perfected first-ranking security.]</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Conditions Precedent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following should be obtained before any first drawdown, subject to confirmation of applicable Credit and legal requirements:</w:t>
            </w:r>
          </w:p>
          <w:p>
            <w:pPr>
              <w:pStyle w:val="ListParagraph"/>
              <w:numPr>
                <w:ilvl w:val="0"/>
                <w:numId w:val="1"/>
              </w:numPr>
              <w:spacing w:after="60"/>
            </w:pPr>
            <w:r>
              <w:rPr>
                <w:rFonts w:ascii="Arial" w:cs="Arial" w:eastAsia="Arial" w:hAnsi="Arial"/>
                <w:sz w:val="20"/>
                <w:szCs w:val="20"/>
              </w:rPr>
              <w:t xml:space="preserve">Completed KYC, constitutional and corporate documents for Sallam International and all relevant obligors; no KYC or constitutional documents are currently available (Source: application form).</w:t>
            </w:r>
          </w:p>
          <w:p>
            <w:pPr>
              <w:pStyle w:val="ListParagraph"/>
              <w:numPr>
                <w:ilvl w:val="0"/>
                <w:numId w:val="1"/>
              </w:numPr>
              <w:spacing w:after="60"/>
            </w:pPr>
            <w:r>
              <w:rPr>
                <w:rFonts w:ascii="Arial" w:cs="Arial" w:eastAsia="Arial" w:hAnsi="Arial"/>
                <w:sz w:val="20"/>
                <w:szCs w:val="20"/>
              </w:rPr>
              <w:t xml:space="preserve">QCB approval for the proposed FX lending, as identified in the facility request (Source: application form).</w:t>
            </w:r>
          </w:p>
          <w:p>
            <w:pPr>
              <w:pStyle w:val="ListParagraph"/>
              <w:numPr>
                <w:ilvl w:val="0"/>
                <w:numId w:val="1"/>
              </w:numPr>
              <w:spacing w:after="60"/>
            </w:pPr>
            <w:r>
              <w:rPr>
                <w:rFonts w:ascii="Arial" w:cs="Arial" w:eastAsia="Arial" w:hAnsi="Arial"/>
                <w:sz w:val="20"/>
                <w:szCs w:val="20"/>
              </w:rPr>
              <w:t xml:space="preserve">Executed facility, security and finance documents governed by Qatari law, together with evidence of valid perfection and priority of the Bank’s security (Source: application form).</w:t>
            </w:r>
          </w:p>
          <w:p>
            <w:pPr>
              <w:pStyle w:val="ListParagraph"/>
              <w:numPr>
                <w:ilvl w:val="0"/>
                <w:numId w:val="1"/>
              </w:numPr>
              <w:spacing w:after="60"/>
            </w:pPr>
            <w:r>
              <w:rPr>
                <w:rFonts w:ascii="Arial" w:cs="Arial" w:eastAsia="Arial" w:hAnsi="Arial"/>
                <w:sz w:val="20"/>
                <w:szCs w:val="20"/>
              </w:rPr>
              <w:t xml:space="preserve">Independent valuation and eligibility confirmation for the proposed collateral, including confirmation that the security supports the stated 117% coverage and 70% LTV cap (Source: application form).</w:t>
            </w:r>
          </w:p>
          <w:p>
            <w:pPr>
              <w:pStyle w:val="ListParagraph"/>
              <w:numPr>
                <w:ilvl w:val="0"/>
                <w:numId w:val="1"/>
              </w:numPr>
              <w:spacing w:after="60"/>
            </w:pPr>
            <w:r>
              <w:rPr>
                <w:rFonts w:ascii="Arial" w:cs="Arial" w:eastAsia="Arial" w:hAnsi="Arial"/>
                <w:sz w:val="20"/>
                <w:szCs w:val="20"/>
              </w:rPr>
              <w:t xml:space="preserve">Current bank statements, credit bureau reports and other required verification documents; no bank statements or bureau reports have been uploaded (Source: application form).</w:t>
            </w:r>
          </w:p>
          <w:p>
            <w:pPr>
              <w:pStyle w:val="ListParagraph"/>
              <w:numPr>
                <w:ilvl w:val="0"/>
                <w:numId w:val="1"/>
              </w:numPr>
              <w:spacing w:after="60"/>
            </w:pPr>
            <w:r>
              <w:rPr>
                <w:rFonts w:ascii="Arial" w:cs="Arial" w:eastAsia="Arial" w:hAnsi="Arial"/>
                <w:sz w:val="20"/>
                <w:szCs w:val="20"/>
              </w:rPr>
              <w:t xml:space="preserve">Evidence of the borrower’s authority to enter into the transaction and confirmation of the purpose, stated as office revamp (Source: application form).</w:t>
            </w:r>
          </w:p>
          <w:p>
            <w:pPr>
              <w:pStyle w:val="ListParagraph"/>
              <w:numPr>
                <w:ilvl w:val="0"/>
                <w:numId w:val="1"/>
              </w:numPr>
              <w:spacing w:after="60"/>
            </w:pPr>
            <w:r>
              <w:rPr>
                <w:rFonts w:ascii="Arial" w:cs="Arial" w:eastAsia="Arial" w:hAnsi="Arial"/>
                <w:sz w:val="20"/>
                <w:szCs w:val="20"/>
              </w:rPr>
              <w:t xml:space="preserve">[Analyst to confirm: final obligor structure, guarantors, beneficial owners, authorised signatories, insurance requirements and any additional legal opinions or regulatory clearances.]</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Performance Monitoring</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Obtain audited annual financial statements of the borrower within the timeframe required by Bank policy, together with reviewed interim financial information at least semi-annually. FY2025 audited financial statements were issued by KPMG with an unqualified opinion, while the six months ended 30 June 2026 information was reviewed rather than audited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 Source: SIIL -HY 2026-English Signed.pdf, pp.1–2).</w:t>
            </w:r>
          </w:p>
          <w:p>
            <w:pPr>
              <w:pStyle w:val="ListParagraph"/>
              <w:numPr>
                <w:ilvl w:val="0"/>
                <w:numId w:val="1"/>
              </w:numPr>
              <w:spacing w:after="60"/>
            </w:pPr>
            <w:r>
              <w:rPr>
                <w:rFonts w:ascii="Arial" w:cs="Arial" w:eastAsia="Arial" w:hAnsi="Arial"/>
                <w:sz w:val="20"/>
                <w:szCs w:val="20"/>
              </w:rPr>
              <w:t xml:space="preserve">Require quarterly management accounts covering revenue, profitability, cash flow, debt, liquidity, related-party balances and covenant compliance. The latest reviewed 6M 2026 information reported total debt of QAR 2,188,434K and cash and bank balances of QAR 99,768K (Source: SIIL FS Q1-2026 English.pdf, pp.3–4).</w:t>
            </w:r>
          </w:p>
          <w:p>
            <w:pPr>
              <w:pStyle w:val="ListParagraph"/>
              <w:numPr>
                <w:ilvl w:val="0"/>
                <w:numId w:val="1"/>
              </w:numPr>
              <w:spacing w:after="60"/>
            </w:pPr>
            <w:r>
              <w:rPr>
                <w:rFonts w:ascii="Arial" w:cs="Arial" w:eastAsia="Arial" w:hAnsi="Arial"/>
                <w:sz w:val="20"/>
                <w:szCs w:val="20"/>
              </w:rPr>
              <w:t xml:space="preserve">Require quarterly collateral valuations or mark-to-market reporting, with immediate notice of any breach of the 70% LTV cap, 75% top-up trigger or 85% liquidation trigger (Source: application form).</w:t>
            </w:r>
          </w:p>
          <w:p>
            <w:pPr>
              <w:pStyle w:val="ListParagraph"/>
              <w:numPr>
                <w:ilvl w:val="0"/>
                <w:numId w:val="1"/>
              </w:numPr>
              <w:spacing w:after="60"/>
            </w:pPr>
            <w:r>
              <w:rPr>
                <w:rFonts w:ascii="Arial" w:cs="Arial" w:eastAsia="Arial" w:hAnsi="Arial"/>
                <w:sz w:val="20"/>
                <w:szCs w:val="20"/>
              </w:rPr>
              <w:t xml:space="preserve">Require prompt reporting of defaults, litigation, material adverse events, covenant breaches, changes in ownership or management, new indebtedness, additional security and related-party transactions.</w:t>
            </w:r>
          </w:p>
          <w:p>
            <w:pPr>
              <w:pStyle w:val="ListParagraph"/>
              <w:numPr>
                <w:ilvl w:val="0"/>
                <w:numId w:val="1"/>
              </w:numPr>
              <w:spacing w:after="60"/>
            </w:pPr>
            <w:r>
              <w:rPr>
                <w:rFonts w:ascii="Arial" w:cs="Arial" w:eastAsia="Arial" w:hAnsi="Arial"/>
                <w:sz w:val="20"/>
                <w:szCs w:val="20"/>
              </w:rPr>
              <w:t xml:space="preserve">[Analyst to confirm: reporting deadlines, approved valuation frequency, designated monitoring officer and required format for compliance certificates.]</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Terms &amp; Conditions</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Audited annual financial statements should be submitted within the period prescribed by Bank policy. FY2025 accounts were audited by KPMG with an unqualified opinion, but the 30 June 2026 interim information was reviewed and not audited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 Source: SIIL -HY 2026-English Signed.pdf, pp.1–2).</w:t>
            </w:r>
          </w:p>
          <w:p>
            <w:pPr>
              <w:pStyle w:val="ListParagraph"/>
              <w:numPr>
                <w:ilvl w:val="0"/>
                <w:numId w:val="1"/>
              </w:numPr>
              <w:spacing w:after="60"/>
            </w:pPr>
            <w:r>
              <w:rPr>
                <w:rFonts w:ascii="Arial" w:cs="Arial" w:eastAsia="Arial" w:hAnsi="Arial"/>
                <w:sz w:val="20"/>
                <w:szCs w:val="20"/>
              </w:rPr>
              <w:t xml:space="preserve">The borrower should maintain adequate reserves and liquidity to meet scheduled debt service, operating requirements and contingent obligations. FY2025 operating cash flow was QAR 194,653K against reported debt service of QAR 676,999K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p.35).</w:t>
            </w:r>
          </w:p>
          <w:p>
            <w:pPr>
              <w:pStyle w:val="ListParagraph"/>
              <w:numPr>
                <w:ilvl w:val="0"/>
                <w:numId w:val="1"/>
              </w:numPr>
              <w:spacing w:after="60"/>
            </w:pPr>
            <w:r>
              <w:rPr>
                <w:rFonts w:ascii="Arial" w:cs="Arial" w:eastAsia="Arial" w:hAnsi="Arial"/>
                <w:sz w:val="20"/>
                <w:szCs w:val="20"/>
              </w:rPr>
              <w:t xml:space="preserve">Standard cross-default, negative pledge, material adverse change, disposals, additional indebtedness and change-of-control provisions should apply, subject to legal review.</w:t>
            </w:r>
          </w:p>
          <w:p>
            <w:pPr>
              <w:pStyle w:val="ListParagraph"/>
              <w:numPr>
                <w:ilvl w:val="0"/>
                <w:numId w:val="1"/>
              </w:numPr>
              <w:spacing w:after="60"/>
            </w:pPr>
            <w:r>
              <w:rPr>
                <w:rFonts w:ascii="Arial" w:cs="Arial" w:eastAsia="Arial" w:hAnsi="Arial"/>
                <w:sz w:val="20"/>
                <w:szCs w:val="20"/>
              </w:rPr>
              <w:t xml:space="preserve">KYC, beneficial ownership, sanctions, AML and customer eligibility requirements must be completed and maintained throughout the relationship. No KYC or constitutional documents are currently available (Source: application form).</w:t>
            </w:r>
          </w:p>
          <w:p>
            <w:pPr>
              <w:pStyle w:val="ListParagraph"/>
              <w:numPr>
                <w:ilvl w:val="0"/>
                <w:numId w:val="1"/>
              </w:numPr>
              <w:spacing w:after="60"/>
            </w:pPr>
            <w:r>
              <w:rPr>
                <w:rFonts w:ascii="Arial" w:cs="Arial" w:eastAsia="Arial" w:hAnsi="Arial"/>
                <w:sz w:val="20"/>
                <w:szCs w:val="20"/>
              </w:rPr>
              <w:t xml:space="preserve">[Analyst to confirm: reserve amount or minimum liquidity threshold, precise audited-FS submission deadline, permitted indebtedness baskets, cross-default threshold and final KYC eligibility assessment.]</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Covenants</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A debt service reserve account should be established if required by policy or transaction risk assessment, with the required amount, funding source, permitted withdrawals and replenishment mechanics documented. [Analyst to confirm: DSRA quantum and form.]</w:t>
            </w:r>
          </w:p>
          <w:p>
            <w:pPr>
              <w:pStyle w:val="ListParagraph"/>
              <w:numPr>
                <w:ilvl w:val="0"/>
                <w:numId w:val="1"/>
              </w:numPr>
              <w:spacing w:after="60"/>
            </w:pPr>
            <w:r>
              <w:rPr>
                <w:rFonts w:ascii="Arial" w:cs="Arial" w:eastAsia="Arial" w:hAnsi="Arial"/>
                <w:sz w:val="20"/>
                <w:szCs w:val="20"/>
              </w:rPr>
              <w:t xml:space="preserve">No side letters, waivers or ancillary undertakings should amend the approved economics, security or ranking unless formally authorised and retained on file. [Analyst to confirm: whether any side letter is contemplated.]</w:t>
            </w:r>
          </w:p>
          <w:p>
            <w:pPr>
              <w:pStyle w:val="ListParagraph"/>
              <w:numPr>
                <w:ilvl w:val="0"/>
                <w:numId w:val="1"/>
              </w:numPr>
              <w:spacing w:after="60"/>
            </w:pPr>
            <w:r>
              <w:rPr>
                <w:rFonts w:ascii="Arial" w:cs="Arial" w:eastAsia="Arial" w:hAnsi="Arial"/>
                <w:sz w:val="20"/>
                <w:szCs w:val="20"/>
              </w:rPr>
              <w:t xml:space="preserve">On a breach of the 75% top-up trigger, the borrower should provide additional eligible collateral or reduce exposure within the period specified by the Bank; at 85%, the Bank should have the contractual right to liquidate or otherwise enforce the relevant collateral, subject to Qatari law (Source: application form).</w:t>
            </w:r>
          </w:p>
          <w:p>
            <w:pPr>
              <w:pStyle w:val="ListParagraph"/>
              <w:numPr>
                <w:ilvl w:val="0"/>
                <w:numId w:val="1"/>
              </w:numPr>
              <w:spacing w:after="60"/>
            </w:pPr>
            <w:r>
              <w:rPr>
                <w:rFonts w:ascii="Arial" w:cs="Arial" w:eastAsia="Arial" w:hAnsi="Arial"/>
                <w:sz w:val="20"/>
                <w:szCs w:val="20"/>
              </w:rPr>
              <w:t xml:space="preserve">The facility should rank at least pari passu with the borrower’s other unsecured and unsubordinated financial indebtedness, subject to disclosed security priorities and mandatory legal preferences. Existing mortgages over investment properties in favour of a local bank must be assessed before relying on those assets (Source: SIIL -HY 2026-English Signed.pdf, p.16).</w:t>
            </w:r>
          </w:p>
          <w:p>
            <w:pPr>
              <w:pStyle w:val="ListParagraph"/>
              <w:numPr>
                <w:ilvl w:val="0"/>
                <w:numId w:val="1"/>
              </w:numPr>
              <w:spacing w:after="60"/>
            </w:pPr>
            <w:r>
              <w:rPr>
                <w:rFonts w:ascii="Arial" w:cs="Arial" w:eastAsia="Arial" w:hAnsi="Arial"/>
                <w:sz w:val="20"/>
                <w:szCs w:val="20"/>
              </w:rPr>
              <w:t xml:space="preserve">[Analyst to confirm: covenant testing dates, cure periods, DSRA arrangements, enforcement mechanics and treatment of proceeds following liquidation.]</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Governing Law</w:t>
            </w:r>
          </w:p>
        </w:tc>
        <w:tc>
          <w:tcPr>
            <w:tcW w:type="pct" w:w="75%"/>
            <w:tcMar>
              <w:top w:type="dxa" w:w="40"/>
              <w:left w:type="dxa" w:w="80"/>
              <w:bottom w:type="dxa" w:w="40"/>
              <w:right w:type="dxa" w:w="80"/>
            </w:tcMar>
          </w:tcPr>
          <w:p>
            <w:r>
              <w:rPr>
                <w:rFonts w:ascii="Arial" w:cs="Arial" w:eastAsia="Arial" w:hAnsi="Arial"/>
                <w:sz w:val="18"/>
                <w:szCs w:val="18"/>
              </w:rPr>
              <w:t xml:space="preserve">Qatari Law</w:t>
            </w:r>
          </w:p>
        </w:tc>
      </w:tr>
    </w:tbl>
    <w:p>
      <w:pPr>
        <w:pStyle w:val="Heading1"/>
        <w:spacing w:after="120" w:before="240"/>
      </w:pPr>
      <w:r>
        <w:rPr>
          <w:rFonts w:ascii="Arial" w:cs="Arial" w:eastAsia="Arial" w:hAnsi="Arial"/>
          <w:b/>
          <w:bCs/>
          <w:color w:val="1F3864"/>
          <w:sz w:val="26"/>
          <w:szCs w:val="26"/>
        </w:rPr>
        <w:t xml:space="preserve">III. Borrower Background</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application identifies the borrower as Sallam International, while the financial statements identify Salam International Investment Limited Q.P.S.C. [Analyst to confirm: legal name, licence number, domicile, incorporation date and whether the application borrower is the same legal entity as the financial-statement entity.]</w:t>
      </w:r>
    </w:p>
    <w:p>
      <w:pPr>
        <w:spacing w:after="120"/>
        <w:jc w:val="both"/>
      </w:pPr>
      <w:r>
        <w:rPr>
          <w:rFonts w:ascii="Arial" w:cs="Arial" w:eastAsia="Arial" w:hAnsi="Arial"/>
          <w:sz w:val="20"/>
          <w:szCs w:val="20"/>
        </w:rPr>
        <w:t xml:space="preserve">The supplied fact pack does not provide the borrower’s licensed activities, shareholding, ultimate beneficial ownership, ownership narrative or management biographies. The financial statements identify Abdur Salam Issa Abu Issa as Chief Executive Officer and Board Member and Hekmat Abdel Fattah Younis as Chief Financial Officer in the interim reporting (Source: EN SALAM.pdf, p.4). The FY2025 statements were audited by KPMG with an unqualified opinion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w:t>
      </w:r>
    </w:p>
    <w:p>
      <w:pPr>
        <w:spacing w:after="120"/>
        <w:jc w:val="both"/>
      </w:pPr>
      <w:r>
        <w:rPr>
          <w:rFonts w:ascii="Arial" w:cs="Arial" w:eastAsia="Arial" w:hAnsi="Arial"/>
          <w:sz w:val="20"/>
          <w:szCs w:val="20"/>
        </w:rPr>
        <w:t xml:space="preserve">The proposed relationship is a new account under Private Banking &amp; Wealth Management, for office revamp, with no group or related-group information captured (Source: application form). [Analyst to confirm: sponsors, directors, shareholders, beneficial owners, group structure, related entities, business track record and management experience.]</w:t>
      </w:r>
    </w:p>
    <w:p>
      <w:pPr>
        <w:pStyle w:val="Heading1"/>
        <w:spacing w:after="120" w:before="240"/>
      </w:pPr>
      <w:r>
        <w:rPr>
          <w:rFonts w:ascii="Arial" w:cs="Arial" w:eastAsia="Arial" w:hAnsi="Arial"/>
          <w:b/>
          <w:bCs/>
          <w:color w:val="1F3864"/>
          <w:sz w:val="26"/>
          <w:szCs w:val="26"/>
        </w:rPr>
        <w:t xml:space="preserve">IV. Industry Analysis</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fact pack indicates operations across contract revenue, sale of goods, services and real estate revenue. For 6M 2025, approximately QAR 669,400K of revenue from contracts with customers arose in Qatar, QAR 65,073K in the United Arab Emirates and QAR 47,099K in other geographies (Source: SIIL Group FS -EN 30 June 2025.pdf, p.23). Management also disclosed geopolitical uncertainty in the Middle East, including Qatar, which may affect sectors in which the Group operates (Source: SIIL -HY 2026-English Signed.pdf, p.28).</w:t>
      </w:r>
    </w:p>
    <w:p>
      <w:pPr>
        <w:spacing w:after="120"/>
        <w:jc w:val="both"/>
      </w:pPr>
      <w:r>
        <w:rPr>
          <w:rFonts w:ascii="Arial" w:cs="Arial" w:eastAsia="Arial" w:hAnsi="Arial"/>
          <w:sz w:val="20"/>
          <w:szCs w:val="20"/>
        </w:rPr>
        <w:t xml:space="preserve">FY2025 revenue increased to QAR 1,866,204K, while real estate revenue declined to QAR 114,274K (Source: SIIL FS March English 2025.pdf, p.4; Source: SIIL English FS Sep 2025.pdf, p.5). Investment properties represented approximately 50% of total assets and are subject to valuation sensitivity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p.4).</w:t>
      </w:r>
    </w:p>
    <w:p>
      <w:pPr>
        <w:spacing w:after="120"/>
        <w:jc w:val="both"/>
      </w:pPr>
      <w:r>
        <w:rPr>
          <w:rFonts w:ascii="Arial" w:cs="Arial" w:eastAsia="Arial" w:hAnsi="Arial"/>
          <w:sz w:val="20"/>
          <w:szCs w:val="20"/>
        </w:rPr>
        <w:t xml:space="preserve">The fact pack records dividends of QAR 0K in FY2023, QAR 34,294K in 6M 2024, QAR 45,726K in FY2025 and QAR 68,589K in 6M 2026 (Source: SIIL Group FS -EN 30 June 2025.pdf, p.12). A ten-year dividend history is not provided. [Analyst to confirm: sector classification, industry outlook, principal competitors, guarantor outlook and complete dividend history.]</w:t>
      </w:r>
    </w:p>
    <w:p>
      <w:pPr>
        <w:pStyle w:val="Heading1"/>
        <w:spacing w:after="120" w:before="240"/>
      </w:pPr>
      <w:r>
        <w:rPr>
          <w:rFonts w:ascii="Arial" w:cs="Arial" w:eastAsia="Arial" w:hAnsi="Arial"/>
          <w:b/>
          <w:bCs/>
          <w:color w:val="1F3864"/>
          <w:sz w:val="26"/>
          <w:szCs w:val="26"/>
        </w:rPr>
        <w:t xml:space="preserve">V. Financial Analysis</w:t>
      </w:r>
    </w:p>
    <w:p>
      <w:pPr>
        <w:spacing w:after="120"/>
      </w:pPr>
      <w:r>
        <w:rPr>
          <w:rFonts w:ascii="Arial" w:cs="Arial" w:eastAsia="Arial" w:hAnsi="Arial"/>
          <w:b/>
          <w:bCs/>
          <w:sz w:val="20"/>
          <w:szCs w:val="20"/>
        </w:rPr>
        <w:t xml:space="preserve">Snapshot of Financial Performance — Sallam International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Company</w:t>
            </w:r>
          </w:p>
        </w:tc>
        <w:tc>
          <w:tcPr>
            <w:tcW w:type="pct" w:w="70%"/>
            <w:tcMar>
              <w:top w:type="dxa" w:w="40"/>
              <w:left w:type="dxa" w:w="80"/>
              <w:bottom w:type="dxa" w:w="40"/>
              <w:right w:type="dxa" w:w="80"/>
            </w:tcMar>
          </w:tcPr>
          <w:p>
            <w:r>
              <w:rPr>
                <w:rFonts w:ascii="Arial" w:cs="Arial" w:eastAsia="Arial" w:hAnsi="Arial"/>
                <w:sz w:val="18"/>
                <w:szCs w:val="18"/>
              </w:rPr>
              <w:t xml:space="preserve">Sallam International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Type of Accounts</w:t>
            </w:r>
          </w:p>
        </w:tc>
        <w:tc>
          <w:tcPr>
            <w:tcW w:type="pct" w:w="70%"/>
            <w:tcMar>
              <w:top w:type="dxa" w:w="40"/>
              <w:left w:type="dxa" w:w="80"/>
              <w:bottom w:type="dxa" w:w="40"/>
              <w:right w:type="dxa" w:w="80"/>
            </w:tcMar>
          </w:tcPr>
          <w:p>
            <w:r>
              <w:rPr>
                <w:rFonts w:ascii="Arial" w:cs="Arial" w:eastAsia="Arial" w:hAnsi="Arial"/>
                <w:sz w:val="18"/>
                <w:szCs w:val="18"/>
              </w:rPr>
              <w:t xml:space="preserve">audited,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Currency / Unit</w:t>
            </w:r>
          </w:p>
        </w:tc>
        <w:tc>
          <w:tcPr>
            <w:tcW w:type="pct" w:w="70%"/>
            <w:tcMar>
              <w:top w:type="dxa" w:w="40"/>
              <w:left w:type="dxa" w:w="80"/>
              <w:bottom w:type="dxa" w:w="40"/>
              <w:right w:type="dxa" w:w="80"/>
            </w:tcMar>
          </w:tcPr>
          <w:p>
            <w:r>
              <w:rPr>
                <w:rFonts w:ascii="Arial" w:cs="Arial" w:eastAsia="Arial" w:hAnsi="Arial"/>
                <w:sz w:val="18"/>
                <w:szCs w:val="18"/>
              </w:rPr>
              <w:t xml:space="preserve">QAR 000s</w:t>
            </w:r>
          </w:p>
        </w:tc>
      </w:tr>
    </w:tbl>
    <w:p>
      <w:pPr>
        <w:spacing w:after="4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Line item</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Q1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2026</w:t>
            </w:r>
          </w:p>
        </w:tc>
      </w:tr>
      <w:tr>
        <w:tc>
          <w:tcPr>
            <w:tcMar>
              <w:top w:type="dxa" w:w="40"/>
              <w:left w:type="dxa" w:w="80"/>
              <w:bottom w:type="dxa" w:w="40"/>
              <w:right w:type="dxa" w:w="80"/>
            </w:tcMar>
          </w:tcPr>
          <w:p>
            <w:r>
              <w:rPr>
                <w:rFonts w:ascii="Arial" w:cs="Arial" w:eastAsia="Arial" w:hAnsi="Arial"/>
                <w:sz w:val="18"/>
                <w:szCs w:val="18"/>
              </w:rPr>
              <w:t xml:space="preserve">Revenue</w:t>
            </w:r>
          </w:p>
        </w:tc>
        <w:tc>
          <w:tcPr>
            <w:tcMar>
              <w:top w:type="dxa" w:w="40"/>
              <w:left w:type="dxa" w:w="80"/>
              <w:bottom w:type="dxa" w:w="40"/>
              <w:right w:type="dxa" w:w="80"/>
            </w:tcMar>
          </w:tcPr>
          <w:p>
            <w:pPr>
              <w:jc w:val="right"/>
            </w:pPr>
            <w:r>
              <w:rPr>
                <w:rFonts w:ascii="Arial" w:cs="Arial" w:eastAsia="Arial" w:hAnsi="Arial"/>
                <w:sz w:val="18"/>
                <w:szCs w:val="18"/>
              </w:rPr>
              <w:t xml:space="preserve">1,094,013</w:t>
            </w:r>
          </w:p>
        </w:tc>
        <w:tc>
          <w:tcPr>
            <w:tcMar>
              <w:top w:type="dxa" w:w="40"/>
              <w:left w:type="dxa" w:w="80"/>
              <w:bottom w:type="dxa" w:w="40"/>
              <w:right w:type="dxa" w:w="80"/>
            </w:tcMar>
          </w:tcPr>
          <w:p>
            <w:pPr>
              <w:jc w:val="right"/>
            </w:pPr>
            <w:r>
              <w:rPr>
                <w:rFonts w:ascii="Arial" w:cs="Arial" w:eastAsia="Arial" w:hAnsi="Arial"/>
                <w:sz w:val="18"/>
                <w:szCs w:val="18"/>
              </w:rPr>
              <w:t xml:space="preserve">1,538,594</w:t>
            </w:r>
          </w:p>
        </w:tc>
        <w:tc>
          <w:tcPr>
            <w:tcMar>
              <w:top w:type="dxa" w:w="40"/>
              <w:left w:type="dxa" w:w="80"/>
              <w:bottom w:type="dxa" w:w="40"/>
              <w:right w:type="dxa" w:w="80"/>
            </w:tcMar>
          </w:tcPr>
          <w:p>
            <w:pPr>
              <w:jc w:val="right"/>
            </w:pPr>
            <w:r>
              <w:rPr>
                <w:rFonts w:ascii="Arial" w:cs="Arial" w:eastAsia="Arial" w:hAnsi="Arial"/>
                <w:sz w:val="18"/>
                <w:szCs w:val="18"/>
              </w:rPr>
              <w:t xml:space="preserve">404,776</w:t>
            </w:r>
          </w:p>
        </w:tc>
        <w:tc>
          <w:tcPr>
            <w:tcMar>
              <w:top w:type="dxa" w:w="40"/>
              <w:left w:type="dxa" w:w="80"/>
              <w:bottom w:type="dxa" w:w="40"/>
              <w:right w:type="dxa" w:w="80"/>
            </w:tcMar>
          </w:tcPr>
          <w:p>
            <w:pPr>
              <w:jc w:val="right"/>
            </w:pPr>
            <w:r>
              <w:rPr>
                <w:rFonts w:ascii="Arial" w:cs="Arial" w:eastAsia="Arial" w:hAnsi="Arial"/>
                <w:sz w:val="18"/>
                <w:szCs w:val="18"/>
              </w:rPr>
              <w:t xml:space="preserve">852,017</w:t>
            </w:r>
          </w:p>
        </w:tc>
        <w:tc>
          <w:tcPr>
            <w:tcMar>
              <w:top w:type="dxa" w:w="40"/>
              <w:left w:type="dxa" w:w="80"/>
              <w:bottom w:type="dxa" w:w="40"/>
              <w:right w:type="dxa" w:w="80"/>
            </w:tcMar>
          </w:tcPr>
          <w:p>
            <w:pPr>
              <w:jc w:val="right"/>
            </w:pPr>
            <w:r>
              <w:rPr>
                <w:rFonts w:ascii="Arial" w:cs="Arial" w:eastAsia="Arial" w:hAnsi="Arial"/>
                <w:sz w:val="18"/>
                <w:szCs w:val="18"/>
              </w:rPr>
              <w:t xml:space="preserve">1,228,134</w:t>
            </w:r>
          </w:p>
        </w:tc>
        <w:tc>
          <w:tcPr>
            <w:tcMar>
              <w:top w:type="dxa" w:w="40"/>
              <w:left w:type="dxa" w:w="80"/>
              <w:bottom w:type="dxa" w:w="40"/>
              <w:right w:type="dxa" w:w="80"/>
            </w:tcMar>
          </w:tcPr>
          <w:p>
            <w:pPr>
              <w:jc w:val="right"/>
            </w:pPr>
            <w:r>
              <w:rPr>
                <w:rFonts w:ascii="Arial" w:cs="Arial" w:eastAsia="Arial" w:hAnsi="Arial"/>
                <w:sz w:val="18"/>
                <w:szCs w:val="18"/>
              </w:rPr>
              <w:t xml:space="preserve">1,683,946</w:t>
            </w:r>
          </w:p>
        </w:tc>
        <w:tc>
          <w:tcPr>
            <w:tcMar>
              <w:top w:type="dxa" w:w="40"/>
              <w:left w:type="dxa" w:w="80"/>
              <w:bottom w:type="dxa" w:w="40"/>
              <w:right w:type="dxa" w:w="80"/>
            </w:tcMar>
          </w:tcPr>
          <w:p>
            <w:pPr>
              <w:jc w:val="right"/>
            </w:pPr>
            <w:r>
              <w:rPr>
                <w:rFonts w:ascii="Arial" w:cs="Arial" w:eastAsia="Arial" w:hAnsi="Arial"/>
                <w:sz w:val="18"/>
                <w:szCs w:val="18"/>
              </w:rPr>
              <w:t xml:space="preserve">398,519</w:t>
            </w:r>
          </w:p>
        </w:tc>
        <w:tc>
          <w:tcPr>
            <w:tcMar>
              <w:top w:type="dxa" w:w="40"/>
              <w:left w:type="dxa" w:w="80"/>
              <w:bottom w:type="dxa" w:w="40"/>
              <w:right w:type="dxa" w:w="80"/>
            </w:tcMar>
          </w:tcPr>
          <w:p>
            <w:pPr>
              <w:jc w:val="right"/>
            </w:pPr>
            <w:r>
              <w:rPr>
                <w:rFonts w:ascii="Arial" w:cs="Arial" w:eastAsia="Arial" w:hAnsi="Arial"/>
                <w:sz w:val="18"/>
                <w:szCs w:val="18"/>
              </w:rPr>
              <w:t xml:space="preserve">838,159</w:t>
            </w:r>
          </w:p>
        </w:tc>
        <w:tc>
          <w:tcPr>
            <w:tcMar>
              <w:top w:type="dxa" w:w="40"/>
              <w:left w:type="dxa" w:w="80"/>
              <w:bottom w:type="dxa" w:w="40"/>
              <w:right w:type="dxa" w:w="80"/>
            </w:tcMar>
          </w:tcPr>
          <w:p>
            <w:pPr>
              <w:jc w:val="right"/>
            </w:pPr>
            <w:r>
              <w:rPr>
                <w:rFonts w:ascii="Arial" w:cs="Arial" w:eastAsia="Arial" w:hAnsi="Arial"/>
                <w:sz w:val="18"/>
                <w:szCs w:val="18"/>
              </w:rPr>
              <w:t xml:space="preserve">1,316,680</w:t>
            </w:r>
          </w:p>
        </w:tc>
        <w:tc>
          <w:tcPr>
            <w:tcMar>
              <w:top w:type="dxa" w:w="40"/>
              <w:left w:type="dxa" w:w="80"/>
              <w:bottom w:type="dxa" w:w="40"/>
              <w:right w:type="dxa" w:w="80"/>
            </w:tcMar>
          </w:tcPr>
          <w:p>
            <w:pPr>
              <w:jc w:val="right"/>
            </w:pPr>
            <w:r>
              <w:rPr>
                <w:rFonts w:ascii="Arial" w:cs="Arial" w:eastAsia="Arial" w:hAnsi="Arial"/>
                <w:sz w:val="18"/>
                <w:szCs w:val="18"/>
              </w:rPr>
              <w:t xml:space="preserve">1,866,204</w:t>
            </w:r>
          </w:p>
        </w:tc>
        <w:tc>
          <w:tcPr>
            <w:tcMar>
              <w:top w:type="dxa" w:w="40"/>
              <w:left w:type="dxa" w:w="80"/>
              <w:bottom w:type="dxa" w:w="40"/>
              <w:right w:type="dxa" w:w="80"/>
            </w:tcMar>
          </w:tcPr>
          <w:p>
            <w:pPr>
              <w:jc w:val="right"/>
            </w:pPr>
            <w:r>
              <w:rPr>
                <w:rFonts w:ascii="Arial" w:cs="Arial" w:eastAsia="Arial" w:hAnsi="Arial"/>
                <w:sz w:val="18"/>
                <w:szCs w:val="18"/>
              </w:rPr>
              <w:t xml:space="preserve">430,571</w:t>
            </w:r>
          </w:p>
        </w:tc>
      </w:tr>
      <w:tr>
        <w:tc>
          <w:tcPr>
            <w:tcMar>
              <w:top w:type="dxa" w:w="40"/>
              <w:left w:type="dxa" w:w="80"/>
              <w:bottom w:type="dxa" w:w="40"/>
              <w:right w:type="dxa" w:w="80"/>
            </w:tcMar>
          </w:tcPr>
          <w:p>
            <w:r>
              <w:rPr>
                <w:rFonts w:ascii="Arial" w:cs="Arial" w:eastAsia="Arial" w:hAnsi="Arial"/>
                <w:sz w:val="18"/>
                <w:szCs w:val="18"/>
              </w:rPr>
              <w:t xml:space="preserve">Total assets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4,457,943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4,449,036</w:t>
            </w:r>
          </w:p>
        </w:tc>
        <w:tc>
          <w:tcPr>
            <w:tcMar>
              <w:top w:type="dxa" w:w="40"/>
              <w:left w:type="dxa" w:w="80"/>
              <w:bottom w:type="dxa" w:w="40"/>
              <w:right w:type="dxa" w:w="80"/>
            </w:tcMar>
          </w:tcPr>
          <w:p>
            <w:pPr>
              <w:jc w:val="right"/>
            </w:pPr>
            <w:r>
              <w:rPr>
                <w:rFonts w:ascii="Arial" w:cs="Arial" w:eastAsia="Arial" w:hAnsi="Arial"/>
                <w:sz w:val="18"/>
                <w:szCs w:val="18"/>
              </w:rPr>
              <w:t xml:space="preserve">4,532,487</w:t>
            </w:r>
          </w:p>
        </w:tc>
        <w:tc>
          <w:tcPr>
            <w:tcMar>
              <w:top w:type="dxa" w:w="40"/>
              <w:left w:type="dxa" w:w="80"/>
              <w:bottom w:type="dxa" w:w="40"/>
              <w:right w:type="dxa" w:w="80"/>
            </w:tcMar>
          </w:tcPr>
          <w:p>
            <w:pPr>
              <w:jc w:val="right"/>
            </w:pPr>
            <w:r>
              <w:rPr>
                <w:rFonts w:ascii="Arial" w:cs="Arial" w:eastAsia="Arial" w:hAnsi="Arial"/>
                <w:sz w:val="18"/>
                <w:szCs w:val="18"/>
              </w:rPr>
              <w:t xml:space="preserve">4,529,151</w:t>
            </w:r>
          </w:p>
        </w:tc>
        <w:tc>
          <w:tcPr>
            <w:tcMar>
              <w:top w:type="dxa" w:w="40"/>
              <w:left w:type="dxa" w:w="80"/>
              <w:bottom w:type="dxa" w:w="40"/>
              <w:right w:type="dxa" w:w="80"/>
            </w:tcMar>
          </w:tcPr>
          <w:p>
            <w:pPr>
              <w:jc w:val="right"/>
            </w:pPr>
            <w:r>
              <w:rPr>
                <w:rFonts w:ascii="Arial" w:cs="Arial" w:eastAsia="Arial" w:hAnsi="Arial"/>
                <w:sz w:val="18"/>
                <w:szCs w:val="18"/>
              </w:rPr>
              <w:t xml:space="preserve">4,589,197</w:t>
            </w:r>
          </w:p>
        </w:tc>
        <w:tc>
          <w:tcPr>
            <w:tcMar>
              <w:top w:type="dxa" w:w="40"/>
              <w:left w:type="dxa" w:w="80"/>
              <w:bottom w:type="dxa" w:w="40"/>
              <w:right w:type="dxa" w:w="80"/>
            </w:tcMar>
          </w:tcPr>
          <w:p>
            <w:pPr>
              <w:jc w:val="right"/>
            </w:pPr>
            <w:r>
              <w:rPr>
                <w:rFonts w:ascii="Arial" w:cs="Arial" w:eastAsia="Arial" w:hAnsi="Arial"/>
                <w:sz w:val="18"/>
                <w:szCs w:val="18"/>
              </w:rPr>
              <w:t xml:space="preserve">4,630,987</w:t>
            </w:r>
          </w:p>
        </w:tc>
        <w:tc>
          <w:tcPr>
            <w:tcMar>
              <w:top w:type="dxa" w:w="40"/>
              <w:left w:type="dxa" w:w="80"/>
              <w:bottom w:type="dxa" w:w="40"/>
              <w:right w:type="dxa" w:w="80"/>
            </w:tcMar>
          </w:tcPr>
          <w:p>
            <w:pPr>
              <w:jc w:val="right"/>
            </w:pPr>
            <w:r>
              <w:rPr>
                <w:rFonts w:ascii="Arial" w:cs="Arial" w:eastAsia="Arial" w:hAnsi="Arial"/>
                <w:sz w:val="18"/>
                <w:szCs w:val="18"/>
              </w:rPr>
              <w:t xml:space="preserve">4,689,477</w:t>
            </w:r>
          </w:p>
        </w:tc>
        <w:tc>
          <w:tcPr>
            <w:tcMar>
              <w:top w:type="dxa" w:w="40"/>
              <w:left w:type="dxa" w:w="80"/>
              <w:bottom w:type="dxa" w:w="40"/>
              <w:right w:type="dxa" w:w="80"/>
            </w:tcMar>
          </w:tcPr>
          <w:p>
            <w:pPr>
              <w:jc w:val="right"/>
            </w:pPr>
            <w:r>
              <w:rPr>
                <w:rFonts w:ascii="Arial" w:cs="Arial" w:eastAsia="Arial" w:hAnsi="Arial"/>
                <w:sz w:val="18"/>
                <w:szCs w:val="18"/>
              </w:rPr>
              <w:t xml:space="preserve">4,637,056</w:t>
            </w:r>
          </w:p>
        </w:tc>
      </w:tr>
      <w:tr>
        <w:tc>
          <w:tcPr>
            <w:tcMar>
              <w:top w:type="dxa" w:w="40"/>
              <w:left w:type="dxa" w:w="80"/>
              <w:bottom w:type="dxa" w:w="40"/>
              <w:right w:type="dxa" w:w="80"/>
            </w:tcMar>
          </w:tcPr>
          <w:p>
            <w:r>
              <w:rPr>
                <w:rFonts w:ascii="Arial" w:cs="Arial" w:eastAsia="Arial" w:hAnsi="Arial"/>
                <w:sz w:val="18"/>
                <w:szCs w:val="18"/>
              </w:rPr>
              <w:t xml:space="preserve">Cost of sales</w:t>
            </w:r>
          </w:p>
        </w:tc>
        <w:tc>
          <w:tcPr>
            <w:tcMar>
              <w:top w:type="dxa" w:w="40"/>
              <w:left w:type="dxa" w:w="80"/>
              <w:bottom w:type="dxa" w:w="40"/>
              <w:right w:type="dxa" w:w="80"/>
            </w:tcMar>
          </w:tcPr>
          <w:p>
            <w:pPr>
              <w:jc w:val="right"/>
            </w:pPr>
            <w:r>
              <w:rPr>
                <w:rFonts w:ascii="Arial" w:cs="Arial" w:eastAsia="Arial" w:hAnsi="Arial"/>
                <w:sz w:val="18"/>
                <w:szCs w:val="18"/>
              </w:rPr>
              <w:t xml:space="preserve">-761,405</w:t>
            </w:r>
          </w:p>
        </w:tc>
        <w:tc>
          <w:tcPr>
            <w:tcMar>
              <w:top w:type="dxa" w:w="40"/>
              <w:left w:type="dxa" w:w="80"/>
              <w:bottom w:type="dxa" w:w="40"/>
              <w:right w:type="dxa" w:w="80"/>
            </w:tcMar>
          </w:tcPr>
          <w:p>
            <w:pPr>
              <w:jc w:val="right"/>
            </w:pPr>
            <w:r>
              <w:rPr>
                <w:rFonts w:ascii="Arial" w:cs="Arial" w:eastAsia="Arial" w:hAnsi="Arial"/>
                <w:sz w:val="18"/>
                <w:szCs w:val="18"/>
              </w:rPr>
              <w:t xml:space="preserve">-1,078,947</w:t>
            </w:r>
          </w:p>
        </w:tc>
        <w:tc>
          <w:tcPr>
            <w:tcMar>
              <w:top w:type="dxa" w:w="40"/>
              <w:left w:type="dxa" w:w="80"/>
              <w:bottom w:type="dxa" w:w="40"/>
              <w:right w:type="dxa" w:w="80"/>
            </w:tcMar>
          </w:tcPr>
          <w:p>
            <w:pPr>
              <w:jc w:val="right"/>
            </w:pPr>
            <w:r>
              <w:rPr>
                <w:rFonts w:ascii="Arial" w:cs="Arial" w:eastAsia="Arial" w:hAnsi="Arial"/>
                <w:sz w:val="18"/>
                <w:szCs w:val="18"/>
              </w:rPr>
              <w:t xml:space="preserve">-287,693</w:t>
            </w:r>
          </w:p>
        </w:tc>
        <w:tc>
          <w:tcPr>
            <w:tcMar>
              <w:top w:type="dxa" w:w="40"/>
              <w:left w:type="dxa" w:w="80"/>
              <w:bottom w:type="dxa" w:w="40"/>
              <w:right w:type="dxa" w:w="80"/>
            </w:tcMar>
          </w:tcPr>
          <w:p>
            <w:pPr>
              <w:jc w:val="right"/>
            </w:pPr>
            <w:r>
              <w:rPr>
                <w:rFonts w:ascii="Arial" w:cs="Arial" w:eastAsia="Arial" w:hAnsi="Arial"/>
                <w:sz w:val="18"/>
                <w:szCs w:val="18"/>
              </w:rPr>
              <w:t xml:space="preserve">-610,907</w:t>
            </w:r>
          </w:p>
        </w:tc>
        <w:tc>
          <w:tcPr>
            <w:tcMar>
              <w:top w:type="dxa" w:w="40"/>
              <w:left w:type="dxa" w:w="80"/>
              <w:bottom w:type="dxa" w:w="40"/>
              <w:right w:type="dxa" w:w="80"/>
            </w:tcMar>
          </w:tcPr>
          <w:p>
            <w:pPr>
              <w:jc w:val="right"/>
            </w:pPr>
            <w:r>
              <w:rPr>
                <w:rFonts w:ascii="Arial" w:cs="Arial" w:eastAsia="Arial" w:hAnsi="Arial"/>
                <w:sz w:val="18"/>
                <w:szCs w:val="18"/>
              </w:rPr>
              <w:t xml:space="preserve">-883,319</w:t>
            </w:r>
          </w:p>
        </w:tc>
        <w:tc>
          <w:tcPr>
            <w:tcMar>
              <w:top w:type="dxa" w:w="40"/>
              <w:left w:type="dxa" w:w="80"/>
              <w:bottom w:type="dxa" w:w="40"/>
              <w:right w:type="dxa" w:w="80"/>
            </w:tcMar>
          </w:tcPr>
          <w:p>
            <w:pPr>
              <w:jc w:val="right"/>
            </w:pPr>
            <w:r>
              <w:rPr>
                <w:rFonts w:ascii="Arial" w:cs="Arial" w:eastAsia="Arial" w:hAnsi="Arial"/>
                <w:sz w:val="18"/>
                <w:szCs w:val="18"/>
              </w:rPr>
              <w:t xml:space="preserve">-1,216,002</w:t>
            </w:r>
          </w:p>
        </w:tc>
        <w:tc>
          <w:tcPr>
            <w:tcMar>
              <w:top w:type="dxa" w:w="40"/>
              <w:left w:type="dxa" w:w="80"/>
              <w:bottom w:type="dxa" w:w="40"/>
              <w:right w:type="dxa" w:w="80"/>
            </w:tcMar>
          </w:tcPr>
          <w:p>
            <w:pPr>
              <w:jc w:val="right"/>
            </w:pPr>
            <w:r>
              <w:rPr>
                <w:rFonts w:ascii="Arial" w:cs="Arial" w:eastAsia="Arial" w:hAnsi="Arial"/>
                <w:sz w:val="18"/>
                <w:szCs w:val="18"/>
              </w:rPr>
              <w:t xml:space="preserve">-281,011</w:t>
            </w:r>
          </w:p>
        </w:tc>
        <w:tc>
          <w:tcPr>
            <w:tcMar>
              <w:top w:type="dxa" w:w="40"/>
              <w:left w:type="dxa" w:w="80"/>
              <w:bottom w:type="dxa" w:w="40"/>
              <w:right w:type="dxa" w:w="80"/>
            </w:tcMar>
          </w:tcPr>
          <w:p>
            <w:pPr>
              <w:jc w:val="right"/>
            </w:pPr>
            <w:r>
              <w:rPr>
                <w:rFonts w:ascii="Arial" w:cs="Arial" w:eastAsia="Arial" w:hAnsi="Arial"/>
                <w:sz w:val="18"/>
                <w:szCs w:val="18"/>
              </w:rPr>
              <w:t xml:space="preserve">-599,097</w:t>
            </w:r>
          </w:p>
        </w:tc>
        <w:tc>
          <w:tcPr>
            <w:tcMar>
              <w:top w:type="dxa" w:w="40"/>
              <w:left w:type="dxa" w:w="80"/>
              <w:bottom w:type="dxa" w:w="40"/>
              <w:right w:type="dxa" w:w="80"/>
            </w:tcMar>
          </w:tcPr>
          <w:p>
            <w:pPr>
              <w:jc w:val="right"/>
            </w:pPr>
            <w:r>
              <w:rPr>
                <w:rFonts w:ascii="Arial" w:cs="Arial" w:eastAsia="Arial" w:hAnsi="Arial"/>
                <w:sz w:val="18"/>
                <w:szCs w:val="18"/>
              </w:rPr>
              <w:t xml:space="preserve">-956,586</w:t>
            </w:r>
          </w:p>
        </w:tc>
        <w:tc>
          <w:tcPr>
            <w:tcMar>
              <w:top w:type="dxa" w:w="40"/>
              <w:left w:type="dxa" w:w="80"/>
              <w:bottom w:type="dxa" w:w="40"/>
              <w:right w:type="dxa" w:w="80"/>
            </w:tcMar>
          </w:tcPr>
          <w:p>
            <w:pPr>
              <w:jc w:val="right"/>
            </w:pPr>
            <w:r>
              <w:rPr>
                <w:rFonts w:ascii="Arial" w:cs="Arial" w:eastAsia="Arial" w:hAnsi="Arial"/>
                <w:sz w:val="18"/>
                <w:szCs w:val="18"/>
              </w:rPr>
              <w:t xml:space="preserve">-1,363,351</w:t>
            </w:r>
          </w:p>
        </w:tc>
        <w:tc>
          <w:tcPr>
            <w:tcMar>
              <w:top w:type="dxa" w:w="40"/>
              <w:left w:type="dxa" w:w="80"/>
              <w:bottom w:type="dxa" w:w="40"/>
              <w:right w:type="dxa" w:w="80"/>
            </w:tcMar>
          </w:tcPr>
          <w:p>
            <w:pPr>
              <w:jc w:val="right"/>
            </w:pPr>
            <w:r>
              <w:rPr>
                <w:rFonts w:ascii="Arial" w:cs="Arial" w:eastAsia="Arial" w:hAnsi="Arial"/>
                <w:sz w:val="18"/>
                <w:szCs w:val="18"/>
              </w:rPr>
              <w:t xml:space="preserve">-305,915</w:t>
            </w:r>
          </w:p>
        </w:tc>
      </w:tr>
      <w:tr>
        <w:tc>
          <w:tcPr>
            <w:tcMar>
              <w:top w:type="dxa" w:w="40"/>
              <w:left w:type="dxa" w:w="80"/>
              <w:bottom w:type="dxa" w:w="40"/>
              <w:right w:type="dxa" w:w="80"/>
            </w:tcMar>
          </w:tcPr>
          <w:p>
            <w:r>
              <w:rPr>
                <w:rFonts w:ascii="Arial" w:cs="Arial" w:eastAsia="Arial" w:hAnsi="Arial"/>
                <w:sz w:val="18"/>
                <w:szCs w:val="18"/>
              </w:rPr>
              <w:t xml:space="preserve">Current assets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1,442,012</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1,371,805</w:t>
            </w:r>
          </w:p>
        </w:tc>
        <w:tc>
          <w:tcPr>
            <w:tcMar>
              <w:top w:type="dxa" w:w="40"/>
              <w:left w:type="dxa" w:w="80"/>
              <w:bottom w:type="dxa" w:w="40"/>
              <w:right w:type="dxa" w:w="80"/>
            </w:tcMar>
          </w:tcPr>
          <w:p>
            <w:pPr>
              <w:jc w:val="right"/>
            </w:pPr>
            <w:r>
              <w:rPr>
                <w:rFonts w:ascii="Arial" w:cs="Arial" w:eastAsia="Arial" w:hAnsi="Arial"/>
                <w:sz w:val="18"/>
                <w:szCs w:val="18"/>
              </w:rPr>
              <w:t xml:space="preserve">1,418,632</w:t>
            </w:r>
          </w:p>
        </w:tc>
        <w:tc>
          <w:tcPr>
            <w:tcMar>
              <w:top w:type="dxa" w:w="40"/>
              <w:left w:type="dxa" w:w="80"/>
              <w:bottom w:type="dxa" w:w="40"/>
              <w:right w:type="dxa" w:w="80"/>
            </w:tcMar>
          </w:tcPr>
          <w:p>
            <w:pPr>
              <w:jc w:val="right"/>
            </w:pPr>
            <w:r>
              <w:rPr>
                <w:rFonts w:ascii="Arial" w:cs="Arial" w:eastAsia="Arial" w:hAnsi="Arial"/>
                <w:sz w:val="18"/>
                <w:szCs w:val="18"/>
              </w:rPr>
              <w:t xml:space="preserve">1,389,955</w:t>
            </w:r>
          </w:p>
        </w:tc>
        <w:tc>
          <w:tcPr>
            <w:tcMar>
              <w:top w:type="dxa" w:w="40"/>
              <w:left w:type="dxa" w:w="80"/>
              <w:bottom w:type="dxa" w:w="40"/>
              <w:right w:type="dxa" w:w="80"/>
            </w:tcMar>
          </w:tcPr>
          <w:p>
            <w:pPr>
              <w:jc w:val="right"/>
            </w:pPr>
            <w:r>
              <w:rPr>
                <w:rFonts w:ascii="Arial" w:cs="Arial" w:eastAsia="Arial" w:hAnsi="Arial"/>
                <w:sz w:val="18"/>
                <w:szCs w:val="18"/>
              </w:rPr>
              <w:t xml:space="preserve">1,437,536</w:t>
            </w:r>
          </w:p>
        </w:tc>
        <w:tc>
          <w:tcPr>
            <w:tcMar>
              <w:top w:type="dxa" w:w="40"/>
              <w:left w:type="dxa" w:w="80"/>
              <w:bottom w:type="dxa" w:w="40"/>
              <w:right w:type="dxa" w:w="80"/>
            </w:tcMar>
          </w:tcPr>
          <w:p>
            <w:pPr>
              <w:jc w:val="right"/>
            </w:pPr>
            <w:r>
              <w:rPr>
                <w:rFonts w:ascii="Arial" w:cs="Arial" w:eastAsia="Arial" w:hAnsi="Arial"/>
                <w:sz w:val="18"/>
                <w:szCs w:val="18"/>
              </w:rPr>
              <w:t xml:space="preserve">1,464,271</w:t>
            </w:r>
          </w:p>
        </w:tc>
        <w:tc>
          <w:tcPr>
            <w:tcMar>
              <w:top w:type="dxa" w:w="40"/>
              <w:left w:type="dxa" w:w="80"/>
              <w:bottom w:type="dxa" w:w="40"/>
              <w:right w:type="dxa" w:w="80"/>
            </w:tcMar>
          </w:tcPr>
          <w:p>
            <w:pPr>
              <w:jc w:val="right"/>
            </w:pPr>
            <w:r>
              <w:rPr>
                <w:rFonts w:ascii="Arial" w:cs="Arial" w:eastAsia="Arial" w:hAnsi="Arial"/>
                <w:sz w:val="18"/>
                <w:szCs w:val="18"/>
              </w:rPr>
              <w:t xml:space="preserve">1,547,938</w:t>
            </w:r>
          </w:p>
        </w:tc>
        <w:tc>
          <w:tcPr>
            <w:tcMar>
              <w:top w:type="dxa" w:w="40"/>
              <w:left w:type="dxa" w:w="80"/>
              <w:bottom w:type="dxa" w:w="40"/>
              <w:right w:type="dxa" w:w="80"/>
            </w:tcMar>
          </w:tcPr>
          <w:p>
            <w:pPr>
              <w:jc w:val="right"/>
            </w:pPr>
            <w:r>
              <w:rPr>
                <w:rFonts w:ascii="Arial" w:cs="Arial" w:eastAsia="Arial" w:hAnsi="Arial"/>
                <w:sz w:val="18"/>
                <w:szCs w:val="18"/>
              </w:rPr>
              <w:t xml:space="preserve">1,497,920</w:t>
            </w:r>
          </w:p>
        </w:tc>
      </w:tr>
      <w:tr>
        <w:tc>
          <w:tcPr>
            <w:tcMar>
              <w:top w:type="dxa" w:w="40"/>
              <w:left w:type="dxa" w:w="80"/>
              <w:bottom w:type="dxa" w:w="40"/>
              <w:right w:type="dxa" w:w="80"/>
            </w:tcMar>
          </w:tcPr>
          <w:p>
            <w:r>
              <w:rPr>
                <w:rFonts w:ascii="Arial" w:cs="Arial" w:eastAsia="Arial" w:hAnsi="Arial"/>
                <w:sz w:val="18"/>
                <w:szCs w:val="18"/>
              </w:rPr>
              <w:t xml:space="preserve">Gross profit</w:t>
            </w:r>
          </w:p>
        </w:tc>
        <w:tc>
          <w:tcPr>
            <w:tcMar>
              <w:top w:type="dxa" w:w="40"/>
              <w:left w:type="dxa" w:w="80"/>
              <w:bottom w:type="dxa" w:w="40"/>
              <w:right w:type="dxa" w:w="80"/>
            </w:tcMar>
          </w:tcPr>
          <w:p>
            <w:pPr>
              <w:jc w:val="right"/>
            </w:pPr>
            <w:r>
              <w:rPr>
                <w:rFonts w:ascii="Arial" w:cs="Arial" w:eastAsia="Arial" w:hAnsi="Arial"/>
                <w:sz w:val="18"/>
                <w:szCs w:val="18"/>
              </w:rPr>
              <w:t xml:space="preserve">332,608</w:t>
            </w:r>
          </w:p>
        </w:tc>
        <w:tc>
          <w:tcPr>
            <w:tcMar>
              <w:top w:type="dxa" w:w="40"/>
              <w:left w:type="dxa" w:w="80"/>
              <w:bottom w:type="dxa" w:w="40"/>
              <w:right w:type="dxa" w:w="80"/>
            </w:tcMar>
          </w:tcPr>
          <w:p>
            <w:pPr>
              <w:jc w:val="right"/>
            </w:pPr>
            <w:r>
              <w:rPr>
                <w:rFonts w:ascii="Arial" w:cs="Arial" w:eastAsia="Arial" w:hAnsi="Arial"/>
                <w:sz w:val="18"/>
                <w:szCs w:val="18"/>
              </w:rPr>
              <w:t xml:space="preserve">459,646</w:t>
            </w:r>
          </w:p>
        </w:tc>
        <w:tc>
          <w:tcPr>
            <w:tcMar>
              <w:top w:type="dxa" w:w="40"/>
              <w:left w:type="dxa" w:w="80"/>
              <w:bottom w:type="dxa" w:w="40"/>
              <w:right w:type="dxa" w:w="80"/>
            </w:tcMar>
          </w:tcPr>
          <w:p>
            <w:pPr>
              <w:jc w:val="right"/>
            </w:pPr>
            <w:r>
              <w:rPr>
                <w:rFonts w:ascii="Arial" w:cs="Arial" w:eastAsia="Arial" w:hAnsi="Arial"/>
                <w:sz w:val="18"/>
                <w:szCs w:val="18"/>
              </w:rPr>
              <w:t xml:space="preserve">117,083</w:t>
            </w:r>
          </w:p>
        </w:tc>
        <w:tc>
          <w:tcPr>
            <w:tcMar>
              <w:top w:type="dxa" w:w="40"/>
              <w:left w:type="dxa" w:w="80"/>
              <w:bottom w:type="dxa" w:w="40"/>
              <w:right w:type="dxa" w:w="80"/>
            </w:tcMar>
          </w:tcPr>
          <w:p>
            <w:pPr>
              <w:jc w:val="right"/>
            </w:pPr>
            <w:r>
              <w:rPr>
                <w:rFonts w:ascii="Arial" w:cs="Arial" w:eastAsia="Arial" w:hAnsi="Arial"/>
                <w:sz w:val="18"/>
                <w:szCs w:val="18"/>
              </w:rPr>
              <w:t xml:space="preserve">241,110</w:t>
            </w:r>
          </w:p>
        </w:tc>
        <w:tc>
          <w:tcPr>
            <w:tcMar>
              <w:top w:type="dxa" w:w="40"/>
              <w:left w:type="dxa" w:w="80"/>
              <w:bottom w:type="dxa" w:w="40"/>
              <w:right w:type="dxa" w:w="80"/>
            </w:tcMar>
          </w:tcPr>
          <w:p>
            <w:pPr>
              <w:jc w:val="right"/>
            </w:pPr>
            <w:r>
              <w:rPr>
                <w:rFonts w:ascii="Arial" w:cs="Arial" w:eastAsia="Arial" w:hAnsi="Arial"/>
                <w:sz w:val="18"/>
                <w:szCs w:val="18"/>
              </w:rPr>
              <w:t xml:space="preserve">344,816</w:t>
            </w:r>
          </w:p>
        </w:tc>
        <w:tc>
          <w:tcPr>
            <w:tcMar>
              <w:top w:type="dxa" w:w="40"/>
              <w:left w:type="dxa" w:w="80"/>
              <w:bottom w:type="dxa" w:w="40"/>
              <w:right w:type="dxa" w:w="80"/>
            </w:tcMar>
          </w:tcPr>
          <w:p>
            <w:pPr>
              <w:jc w:val="right"/>
            </w:pPr>
            <w:r>
              <w:rPr>
                <w:rFonts w:ascii="Arial" w:cs="Arial" w:eastAsia="Arial" w:hAnsi="Arial"/>
                <w:sz w:val="18"/>
                <w:szCs w:val="18"/>
              </w:rPr>
              <w:t xml:space="preserve">467,943</w:t>
            </w:r>
          </w:p>
        </w:tc>
        <w:tc>
          <w:tcPr>
            <w:tcMar>
              <w:top w:type="dxa" w:w="40"/>
              <w:left w:type="dxa" w:w="80"/>
              <w:bottom w:type="dxa" w:w="40"/>
              <w:right w:type="dxa" w:w="80"/>
            </w:tcMar>
          </w:tcPr>
          <w:p>
            <w:pPr>
              <w:jc w:val="right"/>
            </w:pPr>
            <w:r>
              <w:rPr>
                <w:rFonts w:ascii="Arial" w:cs="Arial" w:eastAsia="Arial" w:hAnsi="Arial"/>
                <w:sz w:val="18"/>
                <w:szCs w:val="18"/>
              </w:rPr>
              <w:t xml:space="preserve">117,508</w:t>
            </w:r>
          </w:p>
        </w:tc>
        <w:tc>
          <w:tcPr>
            <w:tcMar>
              <w:top w:type="dxa" w:w="40"/>
              <w:left w:type="dxa" w:w="80"/>
              <w:bottom w:type="dxa" w:w="40"/>
              <w:right w:type="dxa" w:w="80"/>
            </w:tcMar>
          </w:tcPr>
          <w:p>
            <w:pPr>
              <w:jc w:val="right"/>
            </w:pPr>
            <w:r>
              <w:rPr>
                <w:rFonts w:ascii="Arial" w:cs="Arial" w:eastAsia="Arial" w:hAnsi="Arial"/>
                <w:sz w:val="18"/>
                <w:szCs w:val="18"/>
              </w:rPr>
              <w:t xml:space="preserve">239,062</w:t>
            </w:r>
          </w:p>
        </w:tc>
        <w:tc>
          <w:tcPr>
            <w:tcMar>
              <w:top w:type="dxa" w:w="40"/>
              <w:left w:type="dxa" w:w="80"/>
              <w:bottom w:type="dxa" w:w="40"/>
              <w:right w:type="dxa" w:w="80"/>
            </w:tcMar>
          </w:tcPr>
          <w:p>
            <w:pPr>
              <w:jc w:val="right"/>
            </w:pPr>
            <w:r>
              <w:rPr>
                <w:rFonts w:ascii="Arial" w:cs="Arial" w:eastAsia="Arial" w:hAnsi="Arial"/>
                <w:sz w:val="18"/>
                <w:szCs w:val="18"/>
              </w:rPr>
              <w:t xml:space="preserve">360,093</w:t>
            </w:r>
          </w:p>
        </w:tc>
        <w:tc>
          <w:tcPr>
            <w:tcMar>
              <w:top w:type="dxa" w:w="40"/>
              <w:left w:type="dxa" w:w="80"/>
              <w:bottom w:type="dxa" w:w="40"/>
              <w:right w:type="dxa" w:w="80"/>
            </w:tcMar>
          </w:tcPr>
          <w:p>
            <w:pPr>
              <w:jc w:val="right"/>
            </w:pPr>
            <w:r>
              <w:rPr>
                <w:rFonts w:ascii="Arial" w:cs="Arial" w:eastAsia="Arial" w:hAnsi="Arial"/>
                <w:sz w:val="18"/>
                <w:szCs w:val="18"/>
              </w:rPr>
              <w:t xml:space="preserve">502,853</w:t>
            </w:r>
          </w:p>
        </w:tc>
        <w:tc>
          <w:tcPr>
            <w:tcMar>
              <w:top w:type="dxa" w:w="40"/>
              <w:left w:type="dxa" w:w="80"/>
              <w:bottom w:type="dxa" w:w="40"/>
              <w:right w:type="dxa" w:w="80"/>
            </w:tcMar>
          </w:tcPr>
          <w:p>
            <w:pPr>
              <w:jc w:val="right"/>
            </w:pPr>
            <w:r>
              <w:rPr>
                <w:rFonts w:ascii="Arial" w:cs="Arial" w:eastAsia="Arial" w:hAnsi="Arial"/>
                <w:sz w:val="18"/>
                <w:szCs w:val="18"/>
              </w:rPr>
              <w:t xml:space="preserve">124,656</w:t>
            </w:r>
          </w:p>
        </w:tc>
      </w:tr>
      <w:tr>
        <w:tc>
          <w:tcPr>
            <w:tcMar>
              <w:top w:type="dxa" w:w="40"/>
              <w:left w:type="dxa" w:w="80"/>
              <w:bottom w:type="dxa" w:w="40"/>
              <w:right w:type="dxa" w:w="80"/>
            </w:tcMar>
          </w:tcPr>
          <w:p>
            <w:r>
              <w:rPr>
                <w:rFonts w:ascii="Arial" w:cs="Arial" w:eastAsia="Arial" w:hAnsi="Arial"/>
                <w:sz w:val="18"/>
                <w:szCs w:val="18"/>
              </w:rPr>
              <w:t xml:space="preserve">Cash &amp; bank balances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257,995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184,610</w:t>
            </w:r>
          </w:p>
        </w:tc>
        <w:tc>
          <w:tcPr>
            <w:tcMar>
              <w:top w:type="dxa" w:w="40"/>
              <w:left w:type="dxa" w:w="80"/>
              <w:bottom w:type="dxa" w:w="40"/>
              <w:right w:type="dxa" w:w="80"/>
            </w:tcMar>
          </w:tcPr>
          <w:p>
            <w:pPr>
              <w:jc w:val="right"/>
            </w:pPr>
            <w:r>
              <w:rPr>
                <w:rFonts w:ascii="Arial" w:cs="Arial" w:eastAsia="Arial" w:hAnsi="Arial"/>
                <w:sz w:val="18"/>
                <w:szCs w:val="18"/>
              </w:rPr>
              <w:t xml:space="preserve">239,454</w:t>
            </w:r>
          </w:p>
        </w:tc>
        <w:tc>
          <w:tcPr>
            <w:tcMar>
              <w:top w:type="dxa" w:w="40"/>
              <w:left w:type="dxa" w:w="80"/>
              <w:bottom w:type="dxa" w:w="40"/>
              <w:right w:type="dxa" w:w="80"/>
            </w:tcMar>
          </w:tcPr>
          <w:p>
            <w:pPr>
              <w:jc w:val="right"/>
            </w:pPr>
            <w:r>
              <w:rPr>
                <w:rFonts w:ascii="Arial" w:cs="Arial" w:eastAsia="Arial" w:hAnsi="Arial"/>
                <w:sz w:val="18"/>
                <w:szCs w:val="18"/>
              </w:rPr>
              <w:t xml:space="preserve">193,089</w:t>
            </w:r>
          </w:p>
        </w:tc>
        <w:tc>
          <w:tcPr>
            <w:tcMar>
              <w:top w:type="dxa" w:w="40"/>
              <w:left w:type="dxa" w:w="80"/>
              <w:bottom w:type="dxa" w:w="40"/>
              <w:right w:type="dxa" w:w="80"/>
            </w:tcMar>
          </w:tcPr>
          <w:p>
            <w:pPr>
              <w:jc w:val="right"/>
            </w:pPr>
            <w:r>
              <w:rPr>
                <w:rFonts w:ascii="Arial" w:cs="Arial" w:eastAsia="Arial" w:hAnsi="Arial"/>
                <w:sz w:val="18"/>
                <w:szCs w:val="18"/>
              </w:rPr>
              <w:t xml:space="preserve">196,781</w:t>
            </w:r>
          </w:p>
        </w:tc>
        <w:tc>
          <w:tcPr>
            <w:tcMar>
              <w:top w:type="dxa" w:w="40"/>
              <w:left w:type="dxa" w:w="80"/>
              <w:bottom w:type="dxa" w:w="40"/>
              <w:right w:type="dxa" w:w="80"/>
            </w:tcMar>
          </w:tcPr>
          <w:p>
            <w:pPr>
              <w:jc w:val="right"/>
            </w:pPr>
            <w:r>
              <w:rPr>
                <w:rFonts w:ascii="Arial" w:cs="Arial" w:eastAsia="Arial" w:hAnsi="Arial"/>
                <w:sz w:val="18"/>
                <w:szCs w:val="18"/>
              </w:rPr>
              <w:t xml:space="preserve">200,535</w:t>
            </w:r>
          </w:p>
        </w:tc>
        <w:tc>
          <w:tcPr>
            <w:tcMar>
              <w:top w:type="dxa" w:w="40"/>
              <w:left w:type="dxa" w:w="80"/>
              <w:bottom w:type="dxa" w:w="40"/>
              <w:right w:type="dxa" w:w="80"/>
            </w:tcMar>
          </w:tcPr>
          <w:p>
            <w:pPr>
              <w:jc w:val="right"/>
            </w:pPr>
            <w:r>
              <w:rPr>
                <w:rFonts w:ascii="Arial" w:cs="Arial" w:eastAsia="Arial" w:hAnsi="Arial"/>
                <w:sz w:val="18"/>
                <w:szCs w:val="18"/>
              </w:rPr>
              <w:t xml:space="preserve">265,465</w:t>
            </w:r>
          </w:p>
        </w:tc>
        <w:tc>
          <w:tcPr>
            <w:tcMar>
              <w:top w:type="dxa" w:w="40"/>
              <w:left w:type="dxa" w:w="80"/>
              <w:bottom w:type="dxa" w:w="40"/>
              <w:right w:type="dxa" w:w="80"/>
            </w:tcMar>
          </w:tcPr>
          <w:p>
            <w:pPr>
              <w:jc w:val="right"/>
            </w:pPr>
            <w:r>
              <w:rPr>
                <w:rFonts w:ascii="Arial" w:cs="Arial" w:eastAsia="Arial" w:hAnsi="Arial"/>
                <w:sz w:val="18"/>
                <w:szCs w:val="18"/>
              </w:rPr>
              <w:t xml:space="preserve">275,882</w:t>
            </w:r>
          </w:p>
        </w:tc>
      </w:tr>
      <w:tr>
        <w:tc>
          <w:tcPr>
            <w:tcMar>
              <w:top w:type="dxa" w:w="40"/>
              <w:left w:type="dxa" w:w="80"/>
              <w:bottom w:type="dxa" w:w="40"/>
              <w:right w:type="dxa" w:w="80"/>
            </w:tcMar>
          </w:tcPr>
          <w:p>
            <w:r>
              <w:rPr>
                <w:rFonts w:ascii="Arial" w:cs="Arial" w:eastAsia="Arial" w:hAnsi="Arial"/>
                <w:sz w:val="18"/>
                <w:szCs w:val="18"/>
              </w:rPr>
              <w:t xml:space="preserve">Operating expenses</w:t>
            </w:r>
          </w:p>
        </w:tc>
        <w:tc>
          <w:tcPr>
            <w:tcMar>
              <w:top w:type="dxa" w:w="40"/>
              <w:left w:type="dxa" w:w="80"/>
              <w:bottom w:type="dxa" w:w="40"/>
              <w:right w:type="dxa" w:w="80"/>
            </w:tcMar>
          </w:tcPr>
          <w:p>
            <w:pPr>
              <w:jc w:val="right"/>
            </w:pPr>
            <w:r>
              <w:rPr>
                <w:rFonts w:ascii="Arial" w:cs="Arial" w:eastAsia="Arial" w:hAnsi="Arial"/>
                <w:sz w:val="18"/>
                <w:szCs w:val="18"/>
              </w:rPr>
              <w:t xml:space="preserve">-251,013</w:t>
            </w:r>
          </w:p>
        </w:tc>
        <w:tc>
          <w:tcPr>
            <w:tcMar>
              <w:top w:type="dxa" w:w="40"/>
              <w:left w:type="dxa" w:w="80"/>
              <w:bottom w:type="dxa" w:w="40"/>
              <w:right w:type="dxa" w:w="80"/>
            </w:tcMar>
          </w:tcPr>
          <w:p>
            <w:pPr>
              <w:jc w:val="right"/>
            </w:pPr>
            <w:r>
              <w:rPr>
                <w:rFonts w:ascii="Arial" w:cs="Arial" w:eastAsia="Arial" w:hAnsi="Arial"/>
                <w:sz w:val="18"/>
                <w:szCs w:val="18"/>
              </w:rPr>
              <w:t xml:space="preserve">-337,119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-165,977</w:t>
            </w:r>
          </w:p>
        </w:tc>
        <w:tc>
          <w:tcPr>
            <w:tcMar>
              <w:top w:type="dxa" w:w="40"/>
              <w:left w:type="dxa" w:w="80"/>
              <w:bottom w:type="dxa" w:w="40"/>
              <w:right w:type="dxa" w:w="80"/>
            </w:tcMar>
          </w:tcPr>
          <w:p>
            <w:pPr>
              <w:jc w:val="right"/>
            </w:pPr>
            <w:r>
              <w:rPr>
                <w:rFonts w:ascii="Arial" w:cs="Arial" w:eastAsia="Arial" w:hAnsi="Arial"/>
                <w:sz w:val="18"/>
                <w:szCs w:val="18"/>
              </w:rPr>
              <w:t xml:space="preserve">-222,772</w:t>
            </w:r>
          </w:p>
        </w:tc>
        <w:tc>
          <w:tcPr>
            <w:tcMar>
              <w:top w:type="dxa" w:w="40"/>
              <w:left w:type="dxa" w:w="80"/>
              <w:bottom w:type="dxa" w:w="40"/>
              <w:right w:type="dxa" w:w="80"/>
            </w:tcMar>
          </w:tcPr>
          <w:p>
            <w:pPr>
              <w:jc w:val="right"/>
            </w:pPr>
            <w:r>
              <w:rPr>
                <w:rFonts w:ascii="Arial" w:cs="Arial" w:eastAsia="Arial" w:hAnsi="Arial"/>
                <w:sz w:val="18"/>
                <w:szCs w:val="18"/>
              </w:rPr>
              <w:t xml:space="preserve">-300,256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-159,844</w:t>
            </w:r>
          </w:p>
        </w:tc>
        <w:tc>
          <w:tcPr>
            <w:tcMar>
              <w:top w:type="dxa" w:w="40"/>
              <w:left w:type="dxa" w:w="80"/>
              <w:bottom w:type="dxa" w:w="40"/>
              <w:right w:type="dxa" w:w="80"/>
            </w:tcMar>
          </w:tcPr>
          <w:p>
            <w:pPr>
              <w:jc w:val="right"/>
            </w:pPr>
            <w:r>
              <w:rPr>
                <w:rFonts w:ascii="Arial" w:cs="Arial" w:eastAsia="Arial" w:hAnsi="Arial"/>
                <w:sz w:val="18"/>
                <w:szCs w:val="18"/>
              </w:rPr>
              <w:t xml:space="preserve">-228,556</w:t>
            </w:r>
          </w:p>
        </w:tc>
        <w:tc>
          <w:tcPr>
            <w:tcMar>
              <w:top w:type="dxa" w:w="40"/>
              <w:left w:type="dxa" w:w="80"/>
              <w:bottom w:type="dxa" w:w="40"/>
              <w:right w:type="dxa" w:w="80"/>
            </w:tcMar>
          </w:tcPr>
          <w:p>
            <w:pPr>
              <w:jc w:val="right"/>
            </w:pPr>
            <w:r>
              <w:rPr>
                <w:rFonts w:ascii="Arial" w:cs="Arial" w:eastAsia="Arial" w:hAnsi="Arial"/>
                <w:sz w:val="18"/>
                <w:szCs w:val="18"/>
              </w:rPr>
              <w:t xml:space="preserve">-330,175</w:t>
            </w:r>
          </w:p>
        </w:tc>
        <w:tc>
          <w:tcPr>
            <w:tcMar>
              <w:top w:type="dxa" w:w="40"/>
              <w:left w:type="dxa" w:w="80"/>
              <w:bottom w:type="dxa" w:w="40"/>
              <w:right w:type="dxa" w:w="80"/>
            </w:tcMar>
          </w:tcPr>
          <w:p>
            <w:pPr>
              <w:jc w:val="right"/>
            </w:pPr>
            <w:r>
              <w:rPr>
                <w:rFonts w:ascii="Arial" w:cs="Arial" w:eastAsia="Arial" w:hAnsi="Arial"/>
                <w:sz w:val="18"/>
                <w:szCs w:val="18"/>
              </w:rPr>
              <w:t xml:space="preserve"/>
            </w:r>
          </w:p>
        </w:tc>
      </w:tr>
      <w:tr>
        <w:tc>
          <w:tcPr>
            <w:tcMar>
              <w:top w:type="dxa" w:w="40"/>
              <w:left w:type="dxa" w:w="80"/>
              <w:bottom w:type="dxa" w:w="40"/>
              <w:right w:type="dxa" w:w="80"/>
            </w:tcMar>
          </w:tcPr>
          <w:p>
            <w:r>
              <w:rPr>
                <w:rFonts w:ascii="Arial" w:cs="Arial" w:eastAsia="Arial" w:hAnsi="Arial"/>
                <w:sz w:val="18"/>
                <w:szCs w:val="18"/>
              </w:rPr>
              <w:t xml:space="preserve">Finance cost</w:t>
            </w:r>
          </w:p>
        </w:tc>
        <w:tc>
          <w:tcPr>
            <w:tcMar>
              <w:top w:type="dxa" w:w="40"/>
              <w:left w:type="dxa" w:w="80"/>
              <w:bottom w:type="dxa" w:w="40"/>
              <w:right w:type="dxa" w:w="80"/>
            </w:tcMar>
          </w:tcPr>
          <w:p>
            <w:pPr>
              <w:jc w:val="right"/>
            </w:pPr>
            <w:r>
              <w:rPr>
                <w:rFonts w:ascii="Arial" w:cs="Arial" w:eastAsia="Arial" w:hAnsi="Arial"/>
                <w:sz w:val="18"/>
                <w:szCs w:val="18"/>
              </w:rPr>
              <w:t xml:space="preserve">-108,867</w:t>
            </w:r>
          </w:p>
        </w:tc>
        <w:tc>
          <w:tcPr>
            <w:tcMar>
              <w:top w:type="dxa" w:w="40"/>
              <w:left w:type="dxa" w:w="80"/>
              <w:bottom w:type="dxa" w:w="40"/>
              <w:right w:type="dxa" w:w="80"/>
            </w:tcMar>
          </w:tcPr>
          <w:p>
            <w:pPr>
              <w:jc w:val="right"/>
            </w:pPr>
            <w:r>
              <w:rPr>
                <w:rFonts w:ascii="Arial" w:cs="Arial" w:eastAsia="Arial" w:hAnsi="Arial"/>
                <w:sz w:val="18"/>
                <w:szCs w:val="18"/>
              </w:rPr>
              <w:t xml:space="preserve">-143,633</w:t>
            </w:r>
          </w:p>
        </w:tc>
        <w:tc>
          <w:tcPr>
            <w:tcMar>
              <w:top w:type="dxa" w:w="40"/>
              <w:left w:type="dxa" w:w="80"/>
              <w:bottom w:type="dxa" w:w="40"/>
              <w:right w:type="dxa" w:w="80"/>
            </w:tcMar>
          </w:tcPr>
          <w:p>
            <w:pPr>
              <w:jc w:val="right"/>
            </w:pPr>
            <w:r>
              <w:rPr>
                <w:rFonts w:ascii="Arial" w:cs="Arial" w:eastAsia="Arial" w:hAnsi="Arial"/>
                <w:sz w:val="18"/>
                <w:szCs w:val="18"/>
              </w:rPr>
              <w:t xml:space="preserve">-34,005</w:t>
            </w:r>
          </w:p>
        </w:tc>
        <w:tc>
          <w:tcPr>
            <w:tcMar>
              <w:top w:type="dxa" w:w="40"/>
              <w:left w:type="dxa" w:w="80"/>
              <w:bottom w:type="dxa" w:w="40"/>
              <w:right w:type="dxa" w:w="80"/>
            </w:tcMar>
          </w:tcPr>
          <w:p>
            <w:pPr>
              <w:jc w:val="right"/>
            </w:pPr>
            <w:r>
              <w:rPr>
                <w:rFonts w:ascii="Arial" w:cs="Arial" w:eastAsia="Arial" w:hAnsi="Arial"/>
                <w:sz w:val="18"/>
                <w:szCs w:val="18"/>
              </w:rPr>
              <w:t xml:space="preserve">-68,036</w:t>
            </w:r>
          </w:p>
        </w:tc>
        <w:tc>
          <w:tcPr>
            <w:tcMar>
              <w:top w:type="dxa" w:w="40"/>
              <w:left w:type="dxa" w:w="80"/>
              <w:bottom w:type="dxa" w:w="40"/>
              <w:right w:type="dxa" w:w="80"/>
            </w:tcMar>
          </w:tcPr>
          <w:p>
            <w:pPr>
              <w:jc w:val="right"/>
            </w:pPr>
            <w:r>
              <w:rPr>
                <w:rFonts w:ascii="Arial" w:cs="Arial" w:eastAsia="Arial" w:hAnsi="Arial"/>
                <w:sz w:val="18"/>
                <w:szCs w:val="18"/>
              </w:rPr>
              <w:t xml:space="preserve">-102,624</w:t>
            </w:r>
          </w:p>
        </w:tc>
        <w:tc>
          <w:tcPr>
            <w:tcMar>
              <w:top w:type="dxa" w:w="40"/>
              <w:left w:type="dxa" w:w="80"/>
              <w:bottom w:type="dxa" w:w="40"/>
              <w:right w:type="dxa" w:w="80"/>
            </w:tcMar>
          </w:tcPr>
          <w:p>
            <w:pPr>
              <w:jc w:val="right"/>
            </w:pPr>
            <w:r>
              <w:rPr>
                <w:rFonts w:ascii="Arial" w:cs="Arial" w:eastAsia="Arial" w:hAnsi="Arial"/>
                <w:sz w:val="18"/>
                <w:szCs w:val="18"/>
              </w:rPr>
              <w:t xml:space="preserve">-132,886</w:t>
            </w:r>
          </w:p>
        </w:tc>
        <w:tc>
          <w:tcPr>
            <w:tcMar>
              <w:top w:type="dxa" w:w="40"/>
              <w:left w:type="dxa" w:w="80"/>
              <w:bottom w:type="dxa" w:w="40"/>
              <w:right w:type="dxa" w:w="80"/>
            </w:tcMar>
          </w:tcPr>
          <w:p>
            <w:pPr>
              <w:jc w:val="right"/>
            </w:pPr>
            <w:r>
              <w:rPr>
                <w:rFonts w:ascii="Arial" w:cs="Arial" w:eastAsia="Arial" w:hAnsi="Arial"/>
                <w:sz w:val="18"/>
                <w:szCs w:val="18"/>
              </w:rPr>
              <w:t xml:space="preserve">-28,182</w:t>
            </w:r>
          </w:p>
        </w:tc>
        <w:tc>
          <w:tcPr>
            <w:tcMar>
              <w:top w:type="dxa" w:w="40"/>
              <w:left w:type="dxa" w:w="80"/>
              <w:bottom w:type="dxa" w:w="40"/>
              <w:right w:type="dxa" w:w="80"/>
            </w:tcMar>
          </w:tcPr>
          <w:p>
            <w:pPr>
              <w:jc w:val="right"/>
            </w:pPr>
            <w:r>
              <w:rPr>
                <w:rFonts w:ascii="Arial" w:cs="Arial" w:eastAsia="Arial" w:hAnsi="Arial"/>
                <w:sz w:val="18"/>
                <w:szCs w:val="18"/>
              </w:rPr>
              <w:t xml:space="preserve">-56,435</w:t>
            </w:r>
          </w:p>
        </w:tc>
        <w:tc>
          <w:tcPr>
            <w:tcMar>
              <w:top w:type="dxa" w:w="40"/>
              <w:left w:type="dxa" w:w="80"/>
              <w:bottom w:type="dxa" w:w="40"/>
              <w:right w:type="dxa" w:w="80"/>
            </w:tcMar>
          </w:tcPr>
          <w:p>
            <w:pPr>
              <w:jc w:val="right"/>
            </w:pPr>
            <w:r>
              <w:rPr>
                <w:rFonts w:ascii="Arial" w:cs="Arial" w:eastAsia="Arial" w:hAnsi="Arial"/>
                <w:sz w:val="18"/>
                <w:szCs w:val="18"/>
              </w:rPr>
              <w:t xml:space="preserve">-84,972</w:t>
            </w:r>
          </w:p>
        </w:tc>
        <w:tc>
          <w:tcPr>
            <w:tcMar>
              <w:top w:type="dxa" w:w="40"/>
              <w:left w:type="dxa" w:w="80"/>
              <w:bottom w:type="dxa" w:w="40"/>
              <w:right w:type="dxa" w:w="80"/>
            </w:tcMar>
          </w:tcPr>
          <w:p>
            <w:pPr>
              <w:jc w:val="right"/>
            </w:pPr>
            <w:r>
              <w:rPr>
                <w:rFonts w:ascii="Arial" w:cs="Arial" w:eastAsia="Arial" w:hAnsi="Arial"/>
                <w:sz w:val="18"/>
                <w:szCs w:val="18"/>
              </w:rPr>
              <w:t xml:space="preserve">-113,079</w:t>
            </w:r>
          </w:p>
        </w:tc>
        <w:tc>
          <w:tcPr>
            <w:tcMar>
              <w:top w:type="dxa" w:w="40"/>
              <w:left w:type="dxa" w:w="80"/>
              <w:bottom w:type="dxa" w:w="40"/>
              <w:right w:type="dxa" w:w="80"/>
            </w:tcMar>
          </w:tcPr>
          <w:p>
            <w:pPr>
              <w:jc w:val="right"/>
            </w:pPr>
            <w:r>
              <w:rPr>
                <w:rFonts w:ascii="Arial" w:cs="Arial" w:eastAsia="Arial" w:hAnsi="Arial"/>
                <w:sz w:val="18"/>
                <w:szCs w:val="18"/>
              </w:rPr>
              <w:t xml:space="preserve">-24,707</w:t>
            </w:r>
          </w:p>
        </w:tc>
      </w:tr>
      <w:tr>
        <w:tc>
          <w:tcPr>
            <w:tcMar>
              <w:top w:type="dxa" w:w="40"/>
              <w:left w:type="dxa" w:w="80"/>
              <w:bottom w:type="dxa" w:w="40"/>
              <w:right w:type="dxa" w:w="80"/>
            </w:tcMar>
          </w:tcPr>
          <w:p>
            <w:r>
              <w:rPr>
                <w:rFonts w:ascii="Arial" w:cs="Arial" w:eastAsia="Arial" w:hAnsi="Arial"/>
                <w:sz w:val="18"/>
                <w:szCs w:val="18"/>
              </w:rPr>
              <w:t xml:space="preserve">Receivables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308,440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326,228</w:t>
            </w:r>
          </w:p>
        </w:tc>
        <w:tc>
          <w:tcPr>
            <w:tcMar>
              <w:top w:type="dxa" w:w="40"/>
              <w:left w:type="dxa" w:w="80"/>
              <w:bottom w:type="dxa" w:w="40"/>
              <w:right w:type="dxa" w:w="80"/>
            </w:tcMar>
          </w:tcPr>
          <w:p>
            <w:pPr>
              <w:jc w:val="right"/>
            </w:pPr>
            <w:r>
              <w:rPr>
                <w:rFonts w:ascii="Arial" w:cs="Arial" w:eastAsia="Arial" w:hAnsi="Arial"/>
                <w:sz w:val="18"/>
                <w:szCs w:val="18"/>
              </w:rPr>
              <w:t xml:space="preserve">332,016</w:t>
            </w:r>
          </w:p>
        </w:tc>
        <w:tc>
          <w:tcPr>
            <w:tcMar>
              <w:top w:type="dxa" w:w="40"/>
              <w:left w:type="dxa" w:w="80"/>
              <w:bottom w:type="dxa" w:w="40"/>
              <w:right w:type="dxa" w:w="80"/>
            </w:tcMar>
          </w:tcPr>
          <w:p>
            <w:pPr>
              <w:jc w:val="right"/>
            </w:pPr>
            <w:r>
              <w:rPr>
                <w:rFonts w:ascii="Arial" w:cs="Arial" w:eastAsia="Arial" w:hAnsi="Arial"/>
                <w:sz w:val="18"/>
                <w:szCs w:val="18"/>
              </w:rPr>
              <w:t xml:space="preserve">339,888</w:t>
            </w:r>
          </w:p>
        </w:tc>
        <w:tc>
          <w:tcPr>
            <w:tcMar>
              <w:top w:type="dxa" w:w="40"/>
              <w:left w:type="dxa" w:w="80"/>
              <w:bottom w:type="dxa" w:w="40"/>
              <w:right w:type="dxa" w:w="80"/>
            </w:tcMar>
          </w:tcPr>
          <w:p>
            <w:pPr>
              <w:jc w:val="right"/>
            </w:pPr>
            <w:r>
              <w:rPr>
                <w:rFonts w:ascii="Arial" w:cs="Arial" w:eastAsia="Arial" w:hAnsi="Arial"/>
                <w:sz w:val="18"/>
                <w:szCs w:val="18"/>
              </w:rPr>
              <w:t xml:space="preserve">358,175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382,958</w:t>
            </w:r>
          </w:p>
        </w:tc>
        <w:tc>
          <w:tcPr>
            <w:tcMar>
              <w:top w:type="dxa" w:w="40"/>
              <w:left w:type="dxa" w:w="80"/>
              <w:bottom w:type="dxa" w:w="40"/>
              <w:right w:type="dxa" w:w="80"/>
            </w:tcMar>
          </w:tcPr>
          <w:p>
            <w:pPr>
              <w:jc w:val="right"/>
            </w:pPr>
            <w:r>
              <w:rPr>
                <w:rFonts w:ascii="Arial" w:cs="Arial" w:eastAsia="Arial" w:hAnsi="Arial"/>
                <w:sz w:val="18"/>
                <w:szCs w:val="18"/>
              </w:rPr>
              <w:t xml:space="preserve">348,784</w:t>
            </w:r>
          </w:p>
        </w:tc>
      </w:tr>
      <w:tr>
        <w:tc>
          <w:tcPr>
            <w:tcMar>
              <w:top w:type="dxa" w:w="40"/>
              <w:left w:type="dxa" w:w="80"/>
              <w:bottom w:type="dxa" w:w="40"/>
              <w:right w:type="dxa" w:w="80"/>
            </w:tcMar>
          </w:tcPr>
          <w:p>
            <w:r>
              <w:rPr>
                <w:rFonts w:ascii="Arial" w:cs="Arial" w:eastAsia="Arial" w:hAnsi="Arial"/>
                <w:sz w:val="18"/>
                <w:szCs w:val="18"/>
              </w:rPr>
              <w:t xml:space="preserve">EBITDA</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226,623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113,214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251,633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117,250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267,572</w:t>
            </w:r>
          </w:p>
        </w:tc>
        <w:tc>
          <w:tcPr>
            <w:tcMar>
              <w:top w:type="dxa" w:w="40"/>
              <w:left w:type="dxa" w:w="80"/>
              <w:bottom w:type="dxa" w:w="40"/>
              <w:right w:type="dxa" w:w="80"/>
            </w:tcMar>
          </w:tcPr>
          <w:p>
            <w:pPr>
              <w:jc w:val="right"/>
            </w:pPr>
            <w:r>
              <w:rPr>
                <w:rFonts w:ascii="Arial" w:cs="Arial" w:eastAsia="Arial" w:hAnsi="Arial"/>
                <w:sz w:val="18"/>
                <w:szCs w:val="18"/>
              </w:rPr>
              <w:t xml:space="preserve"/>
            </w:r>
          </w:p>
        </w:tc>
      </w:tr>
      <w:tr>
        <w:tc>
          <w:tcPr>
            <w:tcMar>
              <w:top w:type="dxa" w:w="40"/>
              <w:left w:type="dxa" w:w="80"/>
              <w:bottom w:type="dxa" w:w="40"/>
              <w:right w:type="dxa" w:w="80"/>
            </w:tcMar>
          </w:tcPr>
          <w:p>
            <w:r>
              <w:rPr>
                <w:rFonts w:ascii="Arial" w:cs="Arial" w:eastAsia="Arial" w:hAnsi="Arial"/>
                <w:sz w:val="18"/>
                <w:szCs w:val="18"/>
              </w:rPr>
              <w:t xml:space="preserve">EBIT</w:t>
            </w:r>
          </w:p>
        </w:tc>
        <w:tc>
          <w:tcPr>
            <w:tcMar>
              <w:top w:type="dxa" w:w="40"/>
              <w:left w:type="dxa" w:w="80"/>
              <w:bottom w:type="dxa" w:w="40"/>
              <w:right w:type="dxa" w:w="80"/>
            </w:tcMar>
          </w:tcPr>
          <w:p>
            <w:pPr>
              <w:jc w:val="right"/>
            </w:pPr>
            <w:r>
              <w:rPr>
                <w:rFonts w:ascii="Arial" w:cs="Arial" w:eastAsia="Arial" w:hAnsi="Arial"/>
                <w:sz w:val="18"/>
                <w:szCs w:val="18"/>
              </w:rPr>
              <w:t xml:space="preserve">113,114</w:t>
            </w:r>
          </w:p>
        </w:tc>
        <w:tc>
          <w:tcPr>
            <w:tcMar>
              <w:top w:type="dxa" w:w="40"/>
              <w:left w:type="dxa" w:w="80"/>
              <w:bottom w:type="dxa" w:w="40"/>
              <w:right w:type="dxa" w:w="80"/>
            </w:tcMar>
          </w:tcPr>
          <w:p>
            <w:pPr>
              <w:jc w:val="right"/>
            </w:pPr>
            <w:r>
              <w:rPr>
                <w:rFonts w:ascii="Arial" w:cs="Arial" w:eastAsia="Arial" w:hAnsi="Arial"/>
                <w:sz w:val="18"/>
                <w:szCs w:val="18"/>
              </w:rPr>
              <w:t xml:space="preserve">174,263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84,251</w:t>
            </w:r>
          </w:p>
        </w:tc>
        <w:tc>
          <w:tcPr>
            <w:tcMar>
              <w:top w:type="dxa" w:w="40"/>
              <w:left w:type="dxa" w:w="80"/>
              <w:bottom w:type="dxa" w:w="40"/>
              <w:right w:type="dxa" w:w="80"/>
            </w:tcMar>
          </w:tcPr>
          <w:p>
            <w:pPr>
              <w:jc w:val="right"/>
            </w:pPr>
            <w:r>
              <w:rPr>
                <w:rFonts w:ascii="Arial" w:cs="Arial" w:eastAsia="Arial" w:hAnsi="Arial"/>
                <w:sz w:val="18"/>
                <w:szCs w:val="18"/>
              </w:rPr>
              <w:t xml:space="preserve">117,582</w:t>
            </w:r>
          </w:p>
        </w:tc>
        <w:tc>
          <w:tcPr>
            <w:tcMar>
              <w:top w:type="dxa" w:w="40"/>
              <w:left w:type="dxa" w:w="80"/>
              <w:bottom w:type="dxa" w:w="40"/>
              <w:right w:type="dxa" w:w="80"/>
            </w:tcMar>
          </w:tcPr>
          <w:p>
            <w:pPr>
              <w:jc w:val="right"/>
            </w:pPr>
            <w:r>
              <w:rPr>
                <w:rFonts w:ascii="Arial" w:cs="Arial" w:eastAsia="Arial" w:hAnsi="Arial"/>
                <w:sz w:val="18"/>
                <w:szCs w:val="18"/>
              </w:rPr>
              <w:t xml:space="preserve">171,657</w:t>
            </w:r>
          </w:p>
        </w:tc>
        <w:tc>
          <w:tcPr>
            <w:tcMar>
              <w:top w:type="dxa" w:w="40"/>
              <w:left w:type="dxa" w:w="80"/>
              <w:bottom w:type="dxa" w:w="40"/>
              <w:right w:type="dxa" w:w="80"/>
            </w:tcMar>
          </w:tcPr>
          <w:p>
            <w:pPr>
              <w:jc w:val="right"/>
            </w:pPr>
            <w:r>
              <w:rPr>
                <w:rFonts w:ascii="Arial" w:cs="Arial" w:eastAsia="Arial" w:hAnsi="Arial"/>
                <w:sz w:val="18"/>
                <w:szCs w:val="18"/>
              </w:rPr>
              <w:t xml:space="preserve">46,088</w:t>
            </w:r>
          </w:p>
        </w:tc>
        <w:tc>
          <w:tcPr>
            <w:tcMar>
              <w:top w:type="dxa" w:w="40"/>
              <w:left w:type="dxa" w:w="80"/>
              <w:bottom w:type="dxa" w:w="40"/>
              <w:right w:type="dxa" w:w="80"/>
            </w:tcMar>
          </w:tcPr>
          <w:p>
            <w:pPr>
              <w:jc w:val="right"/>
            </w:pPr>
            <w:r>
              <w:rPr>
                <w:rFonts w:ascii="Arial" w:cs="Arial" w:eastAsia="Arial" w:hAnsi="Arial"/>
                <w:sz w:val="18"/>
                <w:szCs w:val="18"/>
              </w:rPr>
              <w:t xml:space="preserve">93,162</w:t>
            </w:r>
          </w:p>
        </w:tc>
        <w:tc>
          <w:tcPr>
            <w:tcMar>
              <w:top w:type="dxa" w:w="40"/>
              <w:left w:type="dxa" w:w="80"/>
              <w:bottom w:type="dxa" w:w="40"/>
              <w:right w:type="dxa" w:w="80"/>
            </w:tcMar>
          </w:tcPr>
          <w:p>
            <w:pPr>
              <w:jc w:val="right"/>
            </w:pPr>
            <w:r>
              <w:rPr>
                <w:rFonts w:ascii="Arial" w:cs="Arial" w:eastAsia="Arial" w:hAnsi="Arial"/>
                <w:sz w:val="18"/>
                <w:szCs w:val="18"/>
              </w:rPr>
              <w:t xml:space="preserve">147,681</w:t>
            </w:r>
          </w:p>
        </w:tc>
        <w:tc>
          <w:tcPr>
            <w:tcMar>
              <w:top w:type="dxa" w:w="40"/>
              <w:left w:type="dxa" w:w="80"/>
              <w:bottom w:type="dxa" w:w="40"/>
              <w:right w:type="dxa" w:w="80"/>
            </w:tcMar>
          </w:tcPr>
          <w:p>
            <w:pPr>
              <w:jc w:val="right"/>
            </w:pPr>
            <w:r>
              <w:rPr>
                <w:rFonts w:ascii="Arial" w:cs="Arial" w:eastAsia="Arial" w:hAnsi="Arial"/>
                <w:sz w:val="18"/>
                <w:szCs w:val="18"/>
              </w:rPr>
              <w:t xml:space="preserve">195,502</w:t>
            </w:r>
          </w:p>
        </w:tc>
        <w:tc>
          <w:tcPr>
            <w:tcMar>
              <w:top w:type="dxa" w:w="40"/>
              <w:left w:type="dxa" w:w="80"/>
              <w:bottom w:type="dxa" w:w="40"/>
              <w:right w:type="dxa" w:w="80"/>
            </w:tcMar>
          </w:tcPr>
          <w:p>
            <w:pPr>
              <w:jc w:val="right"/>
            </w:pPr>
            <w:r>
              <w:rPr>
                <w:rFonts w:ascii="Arial" w:cs="Arial" w:eastAsia="Arial" w:hAnsi="Arial"/>
                <w:sz w:val="18"/>
                <w:szCs w:val="18"/>
              </w:rPr>
              <w:t xml:space="preserve">47,860</w:t>
            </w:r>
          </w:p>
        </w:tc>
      </w:tr>
      <w:tr>
        <w:tc>
          <w:tcPr>
            <w:tcMar>
              <w:top w:type="dxa" w:w="40"/>
              <w:left w:type="dxa" w:w="80"/>
              <w:bottom w:type="dxa" w:w="40"/>
              <w:right w:type="dxa" w:w="80"/>
            </w:tcMar>
          </w:tcPr>
          <w:p>
            <w:r>
              <w:rPr>
                <w:rFonts w:ascii="Arial" w:cs="Arial" w:eastAsia="Arial" w:hAnsi="Arial"/>
                <w:sz w:val="18"/>
                <w:szCs w:val="18"/>
              </w:rPr>
              <w:t xml:space="preserve">Net profit / (loss)</w:t>
            </w:r>
          </w:p>
        </w:tc>
        <w:tc>
          <w:tcPr>
            <w:tcMar>
              <w:top w:type="dxa" w:w="40"/>
              <w:left w:type="dxa" w:w="80"/>
              <w:bottom w:type="dxa" w:w="40"/>
              <w:right w:type="dxa" w:w="80"/>
            </w:tcMar>
          </w:tcPr>
          <w:p>
            <w:pPr>
              <w:jc w:val="right"/>
            </w:pPr>
            <w:r>
              <w:rPr>
                <w:rFonts w:ascii="Arial" w:cs="Arial" w:eastAsia="Arial" w:hAnsi="Arial"/>
                <w:sz w:val="18"/>
                <w:szCs w:val="18"/>
              </w:rPr>
              <w:t xml:space="preserve">21,132</w:t>
            </w:r>
          </w:p>
        </w:tc>
        <w:tc>
          <w:tcPr>
            <w:tcMar>
              <w:top w:type="dxa" w:w="40"/>
              <w:left w:type="dxa" w:w="80"/>
              <w:bottom w:type="dxa" w:w="40"/>
              <w:right w:type="dxa" w:w="80"/>
            </w:tcMar>
          </w:tcPr>
          <w:p>
            <w:pPr>
              <w:jc w:val="right"/>
            </w:pPr>
            <w:r>
              <w:rPr>
                <w:rFonts w:ascii="Arial" w:cs="Arial" w:eastAsia="Arial" w:hAnsi="Arial"/>
                <w:sz w:val="18"/>
                <w:szCs w:val="18"/>
              </w:rPr>
              <w:t xml:space="preserve">52,575</w:t>
            </w:r>
          </w:p>
        </w:tc>
        <w:tc>
          <w:tcPr>
            <w:tcMar>
              <w:top w:type="dxa" w:w="40"/>
              <w:left w:type="dxa" w:w="80"/>
              <w:bottom w:type="dxa" w:w="40"/>
              <w:right w:type="dxa" w:w="80"/>
            </w:tcMar>
          </w:tcPr>
          <w:p>
            <w:pPr>
              <w:jc w:val="right"/>
            </w:pPr>
            <w:r>
              <w:rPr>
                <w:rFonts w:ascii="Arial" w:cs="Arial" w:eastAsia="Arial" w:hAnsi="Arial"/>
                <w:sz w:val="18"/>
                <w:szCs w:val="18"/>
              </w:rPr>
              <w:t xml:space="preserve">13,302</w:t>
            </w:r>
          </w:p>
        </w:tc>
        <w:tc>
          <w:tcPr>
            <w:tcMar>
              <w:top w:type="dxa" w:w="40"/>
              <w:left w:type="dxa" w:w="80"/>
              <w:bottom w:type="dxa" w:w="40"/>
              <w:right w:type="dxa" w:w="80"/>
            </w:tcMar>
          </w:tcPr>
          <w:p>
            <w:pPr>
              <w:jc w:val="right"/>
            </w:pPr>
            <w:r>
              <w:rPr>
                <w:rFonts w:ascii="Arial" w:cs="Arial" w:eastAsia="Arial" w:hAnsi="Arial"/>
                <w:sz w:val="18"/>
                <w:szCs w:val="18"/>
              </w:rPr>
              <w:t xml:space="preserve">30,623</w:t>
            </w:r>
          </w:p>
        </w:tc>
        <w:tc>
          <w:tcPr>
            <w:tcMar>
              <w:top w:type="dxa" w:w="40"/>
              <w:left w:type="dxa" w:w="80"/>
              <w:bottom w:type="dxa" w:w="40"/>
              <w:right w:type="dxa" w:w="80"/>
            </w:tcMar>
          </w:tcPr>
          <w:p>
            <w:pPr>
              <w:jc w:val="right"/>
            </w:pPr>
            <w:r>
              <w:rPr>
                <w:rFonts w:ascii="Arial" w:cs="Arial" w:eastAsia="Arial" w:hAnsi="Arial"/>
                <w:sz w:val="18"/>
                <w:szCs w:val="18"/>
              </w:rPr>
              <w:t xml:space="preserve">36,672</w:t>
            </w:r>
          </w:p>
        </w:tc>
        <w:tc>
          <w:tcPr>
            <w:tcMar>
              <w:top w:type="dxa" w:w="40"/>
              <w:left w:type="dxa" w:w="80"/>
              <w:bottom w:type="dxa" w:w="40"/>
              <w:right w:type="dxa" w:w="80"/>
            </w:tcMar>
          </w:tcPr>
          <w:p>
            <w:pPr>
              <w:jc w:val="right"/>
            </w:pPr>
            <w:r>
              <w:rPr>
                <w:rFonts w:ascii="Arial" w:cs="Arial" w:eastAsia="Arial" w:hAnsi="Arial"/>
                <w:sz w:val="18"/>
                <w:szCs w:val="18"/>
              </w:rPr>
              <w:t xml:space="preserve">54,913</w:t>
            </w:r>
          </w:p>
        </w:tc>
        <w:tc>
          <w:tcPr>
            <w:tcMar>
              <w:top w:type="dxa" w:w="40"/>
              <w:left w:type="dxa" w:w="80"/>
              <w:bottom w:type="dxa" w:w="40"/>
              <w:right w:type="dxa" w:w="80"/>
            </w:tcMar>
          </w:tcPr>
          <w:p>
            <w:pPr>
              <w:jc w:val="right"/>
            </w:pPr>
            <w:r>
              <w:rPr>
                <w:rFonts w:ascii="Arial" w:cs="Arial" w:eastAsia="Arial" w:hAnsi="Arial"/>
                <w:sz w:val="18"/>
                <w:szCs w:val="18"/>
              </w:rPr>
              <w:t xml:space="preserve">20,997</w:t>
            </w:r>
          </w:p>
        </w:tc>
        <w:tc>
          <w:tcPr>
            <w:tcMar>
              <w:top w:type="dxa" w:w="40"/>
              <w:left w:type="dxa" w:w="80"/>
              <w:bottom w:type="dxa" w:w="40"/>
              <w:right w:type="dxa" w:w="80"/>
            </w:tcMar>
          </w:tcPr>
          <w:p>
            <w:pPr>
              <w:jc w:val="right"/>
            </w:pPr>
            <w:r>
              <w:rPr>
                <w:rFonts w:ascii="Arial" w:cs="Arial" w:eastAsia="Arial" w:hAnsi="Arial"/>
                <w:sz w:val="18"/>
                <w:szCs w:val="18"/>
              </w:rPr>
              <w:t xml:space="preserve">48,697</w:t>
            </w:r>
          </w:p>
        </w:tc>
        <w:tc>
          <w:tcPr>
            <w:tcMar>
              <w:top w:type="dxa" w:w="40"/>
              <w:left w:type="dxa" w:w="80"/>
              <w:bottom w:type="dxa" w:w="40"/>
              <w:right w:type="dxa" w:w="80"/>
            </w:tcMar>
          </w:tcPr>
          <w:p>
            <w:pPr>
              <w:jc w:val="right"/>
            </w:pPr>
            <w:r>
              <w:rPr>
                <w:rFonts w:ascii="Arial" w:cs="Arial" w:eastAsia="Arial" w:hAnsi="Arial"/>
                <w:sz w:val="18"/>
                <w:szCs w:val="18"/>
              </w:rPr>
              <w:t xml:space="preserve">77,268</w:t>
            </w:r>
          </w:p>
        </w:tc>
        <w:tc>
          <w:tcPr>
            <w:tcMar>
              <w:top w:type="dxa" w:w="40"/>
              <w:left w:type="dxa" w:w="80"/>
              <w:bottom w:type="dxa" w:w="40"/>
              <w:right w:type="dxa" w:w="80"/>
            </w:tcMar>
          </w:tcPr>
          <w:p>
            <w:pPr>
              <w:jc w:val="right"/>
            </w:pPr>
            <w:r>
              <w:rPr>
                <w:rFonts w:ascii="Arial" w:cs="Arial" w:eastAsia="Arial" w:hAnsi="Arial"/>
                <w:sz w:val="18"/>
                <w:szCs w:val="18"/>
              </w:rPr>
              <w:t xml:space="preserve">102,343</w:t>
            </w:r>
          </w:p>
        </w:tc>
        <w:tc>
          <w:tcPr>
            <w:tcMar>
              <w:top w:type="dxa" w:w="40"/>
              <w:left w:type="dxa" w:w="80"/>
              <w:bottom w:type="dxa" w:w="40"/>
              <w:right w:type="dxa" w:w="80"/>
            </w:tcMar>
          </w:tcPr>
          <w:p>
            <w:pPr>
              <w:jc w:val="right"/>
            </w:pPr>
            <w:r>
              <w:rPr>
                <w:rFonts w:ascii="Arial" w:cs="Arial" w:eastAsia="Arial" w:hAnsi="Arial"/>
                <w:sz w:val="18"/>
                <w:szCs w:val="18"/>
              </w:rPr>
              <w:t xml:space="preserve">27,527</w:t>
            </w:r>
          </w:p>
        </w:tc>
      </w:tr>
      <w:tr>
        <w:tc>
          <w:tcPr>
            <w:tcMar>
              <w:top w:type="dxa" w:w="40"/>
              <w:left w:type="dxa" w:w="80"/>
              <w:bottom w:type="dxa" w:w="40"/>
              <w:right w:type="dxa" w:w="80"/>
            </w:tcMar>
          </w:tcPr>
          <w:p>
            <w:r>
              <w:rPr>
                <w:rFonts w:ascii="Arial" w:cs="Arial" w:eastAsia="Arial" w:hAnsi="Arial"/>
                <w:sz w:val="18"/>
                <w:szCs w:val="18"/>
              </w:rPr>
              <w:t xml:space="preserve">Inventory</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291,948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301,005</w:t>
            </w:r>
          </w:p>
        </w:tc>
        <w:tc>
          <w:tcPr>
            <w:tcMar>
              <w:top w:type="dxa" w:w="40"/>
              <w:left w:type="dxa" w:w="80"/>
              <w:bottom w:type="dxa" w:w="40"/>
              <w:right w:type="dxa" w:w="80"/>
            </w:tcMar>
          </w:tcPr>
          <w:p>
            <w:pPr>
              <w:jc w:val="right"/>
            </w:pPr>
            <w:r>
              <w:rPr>
                <w:rFonts w:ascii="Arial" w:cs="Arial" w:eastAsia="Arial" w:hAnsi="Arial"/>
                <w:sz w:val="18"/>
                <w:szCs w:val="18"/>
              </w:rPr>
              <w:t xml:space="preserve">286,910</w:t>
            </w:r>
          </w:p>
        </w:tc>
        <w:tc>
          <w:tcPr>
            <w:tcMar>
              <w:top w:type="dxa" w:w="40"/>
              <w:left w:type="dxa" w:w="80"/>
              <w:bottom w:type="dxa" w:w="40"/>
              <w:right w:type="dxa" w:w="80"/>
            </w:tcMar>
          </w:tcPr>
          <w:p>
            <w:pPr>
              <w:jc w:val="right"/>
            </w:pPr>
            <w:r>
              <w:rPr>
                <w:rFonts w:ascii="Arial" w:cs="Arial" w:eastAsia="Arial" w:hAnsi="Arial"/>
                <w:sz w:val="18"/>
                <w:szCs w:val="18"/>
              </w:rPr>
              <w:t xml:space="preserve">282,399</w:t>
            </w:r>
          </w:p>
        </w:tc>
        <w:tc>
          <w:tcPr>
            <w:tcMar>
              <w:top w:type="dxa" w:w="40"/>
              <w:left w:type="dxa" w:w="80"/>
              <w:bottom w:type="dxa" w:w="40"/>
              <w:right w:type="dxa" w:w="80"/>
            </w:tcMar>
          </w:tcPr>
          <w:p>
            <w:pPr>
              <w:jc w:val="right"/>
            </w:pPr>
            <w:r>
              <w:rPr>
                <w:rFonts w:ascii="Arial" w:cs="Arial" w:eastAsia="Arial" w:hAnsi="Arial"/>
                <w:sz w:val="18"/>
                <w:szCs w:val="18"/>
              </w:rPr>
              <w:t xml:space="preserve">289,874</w:t>
            </w:r>
          </w:p>
        </w:tc>
        <w:tc>
          <w:tcPr>
            <w:tcMar>
              <w:top w:type="dxa" w:w="40"/>
              <w:left w:type="dxa" w:w="80"/>
              <w:bottom w:type="dxa" w:w="40"/>
              <w:right w:type="dxa" w:w="80"/>
            </w:tcMar>
          </w:tcPr>
          <w:p>
            <w:pPr>
              <w:jc w:val="right"/>
            </w:pPr>
            <w:r>
              <w:rPr>
                <w:rFonts w:ascii="Arial" w:cs="Arial" w:eastAsia="Arial" w:hAnsi="Arial"/>
                <w:sz w:val="18"/>
                <w:szCs w:val="18"/>
              </w:rPr>
              <w:t xml:space="preserve">305,764</w:t>
            </w:r>
          </w:p>
        </w:tc>
        <w:tc>
          <w:tcPr>
            <w:tcMar>
              <w:top w:type="dxa" w:w="40"/>
              <w:left w:type="dxa" w:w="80"/>
              <w:bottom w:type="dxa" w:w="40"/>
              <w:right w:type="dxa" w:w="80"/>
            </w:tcMar>
          </w:tcPr>
          <w:p>
            <w:pPr>
              <w:jc w:val="right"/>
            </w:pPr>
            <w:r>
              <w:rPr>
                <w:rFonts w:ascii="Arial" w:cs="Arial" w:eastAsia="Arial" w:hAnsi="Arial"/>
                <w:sz w:val="18"/>
                <w:szCs w:val="18"/>
              </w:rPr>
              <w:t xml:space="preserve">285,654</w:t>
            </w:r>
          </w:p>
        </w:tc>
        <w:tc>
          <w:tcPr>
            <w:tcMar>
              <w:top w:type="dxa" w:w="40"/>
              <w:left w:type="dxa" w:w="80"/>
              <w:bottom w:type="dxa" w:w="40"/>
              <w:right w:type="dxa" w:w="80"/>
            </w:tcMar>
          </w:tcPr>
          <w:p>
            <w:pPr>
              <w:jc w:val="right"/>
            </w:pPr>
            <w:r>
              <w:rPr>
                <w:rFonts w:ascii="Arial" w:cs="Arial" w:eastAsia="Arial" w:hAnsi="Arial"/>
                <w:sz w:val="18"/>
                <w:szCs w:val="18"/>
              </w:rPr>
              <w:t xml:space="preserve">281,985</w:t>
            </w:r>
          </w:p>
        </w:tc>
      </w:tr>
      <w:tr>
        <w:tc>
          <w:tcPr>
            <w:tcMar>
              <w:top w:type="dxa" w:w="40"/>
              <w:left w:type="dxa" w:w="80"/>
              <w:bottom w:type="dxa" w:w="40"/>
              <w:right w:type="dxa" w:w="80"/>
            </w:tcMar>
          </w:tcPr>
          <w:p>
            <w:r>
              <w:rPr>
                <w:rFonts w:ascii="Arial" w:cs="Arial" w:eastAsia="Arial" w:hAnsi="Arial"/>
                <w:sz w:val="18"/>
                <w:szCs w:val="18"/>
              </w:rPr>
              <w:t xml:space="preserve">Investments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93,843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2,349,957</w:t>
            </w:r>
          </w:p>
        </w:tc>
        <w:tc>
          <w:tcPr>
            <w:tcMar>
              <w:top w:type="dxa" w:w="40"/>
              <w:left w:type="dxa" w:w="80"/>
              <w:bottom w:type="dxa" w:w="40"/>
              <w:right w:type="dxa" w:w="80"/>
            </w:tcMar>
          </w:tcPr>
          <w:p>
            <w:pPr>
              <w:jc w:val="right"/>
            </w:pPr>
            <w:r>
              <w:rPr>
                <w:rFonts w:ascii="Arial" w:cs="Arial" w:eastAsia="Arial" w:hAnsi="Arial"/>
                <w:sz w:val="18"/>
                <w:szCs w:val="18"/>
              </w:rPr>
              <w:t xml:space="preserve">97,662</w:t>
            </w:r>
          </w:p>
        </w:tc>
        <w:tc>
          <w:tcPr>
            <w:tcMar>
              <w:top w:type="dxa" w:w="40"/>
              <w:left w:type="dxa" w:w="80"/>
              <w:bottom w:type="dxa" w:w="40"/>
              <w:right w:type="dxa" w:w="80"/>
            </w:tcMar>
          </w:tcPr>
          <w:p>
            <w:pPr>
              <w:jc w:val="right"/>
            </w:pPr>
            <w:r>
              <w:rPr>
                <w:rFonts w:ascii="Arial" w:cs="Arial" w:eastAsia="Arial" w:hAnsi="Arial"/>
                <w:sz w:val="18"/>
                <w:szCs w:val="18"/>
              </w:rPr>
              <w:t xml:space="preserve">99,843</w:t>
            </w:r>
          </w:p>
        </w:tc>
        <w:tc>
          <w:tcPr>
            <w:tcMar>
              <w:top w:type="dxa" w:w="40"/>
              <w:left w:type="dxa" w:w="80"/>
              <w:bottom w:type="dxa" w:w="40"/>
              <w:right w:type="dxa" w:w="80"/>
            </w:tcMar>
          </w:tcPr>
          <w:p>
            <w:pPr>
              <w:jc w:val="right"/>
            </w:pPr>
            <w:r>
              <w:rPr>
                <w:rFonts w:ascii="Arial" w:cs="Arial" w:eastAsia="Arial" w:hAnsi="Arial"/>
                <w:sz w:val="18"/>
                <w:szCs w:val="18"/>
              </w:rPr>
              <w:t xml:space="preserve">94,314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106,286</w:t>
            </w:r>
          </w:p>
        </w:tc>
        <w:tc>
          <w:tcPr>
            <w:tcMar>
              <w:top w:type="dxa" w:w="40"/>
              <w:left w:type="dxa" w:w="80"/>
              <w:bottom w:type="dxa" w:w="40"/>
              <w:right w:type="dxa" w:w="80"/>
            </w:tcMar>
          </w:tcPr>
          <w:p>
            <w:pPr>
              <w:jc w:val="right"/>
            </w:pPr>
            <w:r>
              <w:rPr>
                <w:rFonts w:ascii="Arial" w:cs="Arial" w:eastAsia="Arial" w:hAnsi="Arial"/>
                <w:sz w:val="18"/>
                <w:szCs w:val="18"/>
              </w:rPr>
              <w:t xml:space="preserve">103,056</w:t>
            </w:r>
          </w:p>
        </w:tc>
      </w:tr>
      <w:tr>
        <w:tc>
          <w:tcPr>
            <w:tcMar>
              <w:top w:type="dxa" w:w="40"/>
              <w:left w:type="dxa" w:w="80"/>
              <w:bottom w:type="dxa" w:w="40"/>
              <w:right w:type="dxa" w:w="80"/>
            </w:tcMar>
          </w:tcPr>
          <w:p>
            <w:r>
              <w:rPr>
                <w:rFonts w:ascii="Arial" w:cs="Arial" w:eastAsia="Arial" w:hAnsi="Arial"/>
                <w:sz w:val="18"/>
                <w:szCs w:val="18"/>
              </w:rPr>
              <w:t xml:space="preserve">Depreciation &amp; amortisation</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52,676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30,416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59,648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24,088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46,549</w:t>
            </w:r>
          </w:p>
        </w:tc>
        <w:tc>
          <w:tcPr>
            <w:tcMar>
              <w:top w:type="dxa" w:w="40"/>
              <w:left w:type="dxa" w:w="80"/>
              <w:bottom w:type="dxa" w:w="40"/>
              <w:right w:type="dxa" w:w="80"/>
            </w:tcMar>
          </w:tcPr>
          <w:p>
            <w:pPr>
              <w:jc w:val="right"/>
            </w:pPr>
            <w:r>
              <w:rPr>
                <w:rFonts w:ascii="Arial" w:cs="Arial" w:eastAsia="Arial" w:hAnsi="Arial"/>
                <w:sz w:val="18"/>
                <w:szCs w:val="18"/>
              </w:rPr>
              <w:t xml:space="preserve"/>
            </w:r>
          </w:p>
        </w:tc>
      </w:tr>
      <w:tr>
        <w:tc>
          <w:tcPr>
            <w:tcMar>
              <w:top w:type="dxa" w:w="40"/>
              <w:left w:type="dxa" w:w="80"/>
              <w:bottom w:type="dxa" w:w="40"/>
              <w:right w:type="dxa" w:w="80"/>
            </w:tcMar>
          </w:tcPr>
          <w:p>
            <w:r>
              <w:rPr>
                <w:rFonts w:ascii="Arial" w:cs="Arial" w:eastAsia="Arial" w:hAnsi="Arial"/>
                <w:sz w:val="18"/>
                <w:szCs w:val="18"/>
              </w:rPr>
              <w:t xml:space="preserve">Total liabilities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2,727,273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2,735,326</w:t>
            </w:r>
          </w:p>
        </w:tc>
        <w:tc>
          <w:tcPr>
            <w:tcMar>
              <w:top w:type="dxa" w:w="40"/>
              <w:left w:type="dxa" w:w="80"/>
              <w:bottom w:type="dxa" w:w="40"/>
              <w:right w:type="dxa" w:w="80"/>
            </w:tcMar>
          </w:tcPr>
          <w:p>
            <w:pPr>
              <w:jc w:val="right"/>
            </w:pPr>
            <w:r>
              <w:rPr>
                <w:rFonts w:ascii="Arial" w:cs="Arial" w:eastAsia="Arial" w:hAnsi="Arial"/>
                <w:sz w:val="18"/>
                <w:szCs w:val="18"/>
              </w:rPr>
              <w:t xml:space="preserve">2,823,202</w:t>
            </w:r>
          </w:p>
        </w:tc>
        <w:tc>
          <w:tcPr>
            <w:tcMar>
              <w:top w:type="dxa" w:w="40"/>
              <w:left w:type="dxa" w:w="80"/>
              <w:bottom w:type="dxa" w:w="40"/>
              <w:right w:type="dxa" w:w="80"/>
            </w:tcMar>
          </w:tcPr>
          <w:p>
            <w:pPr>
              <w:jc w:val="right"/>
            </w:pPr>
            <w:r>
              <w:rPr>
                <w:rFonts w:ascii="Arial" w:cs="Arial" w:eastAsia="Arial" w:hAnsi="Arial"/>
                <w:sz w:val="18"/>
                <w:szCs w:val="18"/>
              </w:rPr>
              <w:t xml:space="preserve">2,837,957</w:t>
            </w:r>
          </w:p>
        </w:tc>
        <w:tc>
          <w:tcPr>
            <w:tcMar>
              <w:top w:type="dxa" w:w="40"/>
              <w:left w:type="dxa" w:w="80"/>
              <w:bottom w:type="dxa" w:w="40"/>
              <w:right w:type="dxa" w:w="80"/>
            </w:tcMar>
          </w:tcPr>
          <w:p>
            <w:pPr>
              <w:jc w:val="right"/>
            </w:pPr>
            <w:r>
              <w:rPr>
                <w:rFonts w:ascii="Arial" w:cs="Arial" w:eastAsia="Arial" w:hAnsi="Arial"/>
                <w:sz w:val="18"/>
                <w:szCs w:val="18"/>
              </w:rPr>
              <w:t xml:space="preserve">2,875,949</w:t>
            </w:r>
          </w:p>
        </w:tc>
        <w:tc>
          <w:tcPr>
            <w:tcMar>
              <w:top w:type="dxa" w:w="40"/>
              <w:left w:type="dxa" w:w="80"/>
              <w:bottom w:type="dxa" w:w="40"/>
              <w:right w:type="dxa" w:w="80"/>
            </w:tcMar>
          </w:tcPr>
          <w:p>
            <w:pPr>
              <w:jc w:val="right"/>
            </w:pPr>
            <w:r>
              <w:rPr>
                <w:rFonts w:ascii="Arial" w:cs="Arial" w:eastAsia="Arial" w:hAnsi="Arial"/>
                <w:sz w:val="18"/>
                <w:szCs w:val="18"/>
              </w:rPr>
              <w:t xml:space="preserve">2,884,118</w:t>
            </w:r>
          </w:p>
        </w:tc>
        <w:tc>
          <w:tcPr>
            <w:tcMar>
              <w:top w:type="dxa" w:w="40"/>
              <w:left w:type="dxa" w:w="80"/>
              <w:bottom w:type="dxa" w:w="40"/>
              <w:right w:type="dxa" w:w="80"/>
            </w:tcMar>
          </w:tcPr>
          <w:p>
            <w:pPr>
              <w:jc w:val="right"/>
            </w:pPr>
            <w:r>
              <w:rPr>
                <w:rFonts w:ascii="Arial" w:cs="Arial" w:eastAsia="Arial" w:hAnsi="Arial"/>
                <w:sz w:val="18"/>
                <w:szCs w:val="18"/>
              </w:rPr>
              <w:t xml:space="preserve">2,913,442</w:t>
            </w:r>
          </w:p>
        </w:tc>
        <w:tc>
          <w:tcPr>
            <w:tcMar>
              <w:top w:type="dxa" w:w="40"/>
              <w:left w:type="dxa" w:w="80"/>
              <w:bottom w:type="dxa" w:w="40"/>
              <w:right w:type="dxa" w:w="80"/>
            </w:tcMar>
          </w:tcPr>
          <w:p>
            <w:pPr>
              <w:jc w:val="right"/>
            </w:pPr>
            <w:r>
              <w:rPr>
                <w:rFonts w:ascii="Arial" w:cs="Arial" w:eastAsia="Arial" w:hAnsi="Arial"/>
                <w:sz w:val="18"/>
                <w:szCs w:val="18"/>
              </w:rPr>
              <w:t xml:space="preserve">2,905,267</w:t>
            </w:r>
          </w:p>
        </w:tc>
      </w:tr>
      <w:tr>
        <w:tc>
          <w:tcPr>
            <w:tcMar>
              <w:top w:type="dxa" w:w="40"/>
              <w:left w:type="dxa" w:w="80"/>
              <w:bottom w:type="dxa" w:w="40"/>
              <w:right w:type="dxa" w:w="80"/>
            </w:tcMar>
          </w:tcPr>
          <w:p>
            <w:r>
              <w:rPr>
                <w:rFonts w:ascii="Arial" w:cs="Arial" w:eastAsia="Arial" w:hAnsi="Arial"/>
                <w:sz w:val="18"/>
                <w:szCs w:val="18"/>
              </w:rPr>
              <w:t xml:space="preserve">Current liabilities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847,213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912,401</w:t>
            </w:r>
          </w:p>
        </w:tc>
        <w:tc>
          <w:tcPr>
            <w:tcMar>
              <w:top w:type="dxa" w:w="40"/>
              <w:left w:type="dxa" w:w="80"/>
              <w:bottom w:type="dxa" w:w="40"/>
              <w:right w:type="dxa" w:w="80"/>
            </w:tcMar>
          </w:tcPr>
          <w:p>
            <w:pPr>
              <w:jc w:val="right"/>
            </w:pPr>
            <w:r>
              <w:rPr>
                <w:rFonts w:ascii="Arial" w:cs="Arial" w:eastAsia="Arial" w:hAnsi="Arial"/>
                <w:sz w:val="18"/>
                <w:szCs w:val="18"/>
              </w:rPr>
              <w:t xml:space="preserve">940,784</w:t>
            </w:r>
          </w:p>
        </w:tc>
        <w:tc>
          <w:tcPr>
            <w:tcMar>
              <w:top w:type="dxa" w:w="40"/>
              <w:left w:type="dxa" w:w="80"/>
              <w:bottom w:type="dxa" w:w="40"/>
              <w:right w:type="dxa" w:w="80"/>
            </w:tcMar>
          </w:tcPr>
          <w:p>
            <w:pPr>
              <w:jc w:val="right"/>
            </w:pPr>
            <w:r>
              <w:rPr>
                <w:rFonts w:ascii="Arial" w:cs="Arial" w:eastAsia="Arial" w:hAnsi="Arial"/>
                <w:sz w:val="18"/>
                <w:szCs w:val="18"/>
              </w:rPr>
              <w:t xml:space="preserve">893,979</w:t>
            </w:r>
          </w:p>
        </w:tc>
        <w:tc>
          <w:tcPr>
            <w:tcMar>
              <w:top w:type="dxa" w:w="40"/>
              <w:left w:type="dxa" w:w="80"/>
              <w:bottom w:type="dxa" w:w="40"/>
              <w:right w:type="dxa" w:w="80"/>
            </w:tcMar>
          </w:tcPr>
          <w:p>
            <w:pPr>
              <w:jc w:val="right"/>
            </w:pPr>
            <w:r>
              <w:rPr>
                <w:rFonts w:ascii="Arial" w:cs="Arial" w:eastAsia="Arial" w:hAnsi="Arial"/>
                <w:sz w:val="18"/>
                <w:szCs w:val="18"/>
              </w:rPr>
              <w:t xml:space="preserve">953,620</w:t>
            </w:r>
          </w:p>
        </w:tc>
        <w:tc>
          <w:tcPr>
            <w:tcMar>
              <w:top w:type="dxa" w:w="40"/>
              <w:left w:type="dxa" w:w="80"/>
              <w:bottom w:type="dxa" w:w="40"/>
              <w:right w:type="dxa" w:w="80"/>
            </w:tcMar>
          </w:tcPr>
          <w:p>
            <w:pPr>
              <w:jc w:val="right"/>
            </w:pPr>
            <w:r>
              <w:rPr>
                <w:rFonts w:ascii="Arial" w:cs="Arial" w:eastAsia="Arial" w:hAnsi="Arial"/>
                <w:sz w:val="18"/>
                <w:szCs w:val="18"/>
              </w:rPr>
              <w:t xml:space="preserve">989,144</w:t>
            </w:r>
          </w:p>
        </w:tc>
        <w:tc>
          <w:tcPr>
            <w:tcMar>
              <w:top w:type="dxa" w:w="40"/>
              <w:left w:type="dxa" w:w="80"/>
              <w:bottom w:type="dxa" w:w="40"/>
              <w:right w:type="dxa" w:w="80"/>
            </w:tcMar>
          </w:tcPr>
          <w:p>
            <w:pPr>
              <w:jc w:val="right"/>
            </w:pPr>
            <w:r>
              <w:rPr>
                <w:rFonts w:ascii="Arial" w:cs="Arial" w:eastAsia="Arial" w:hAnsi="Arial"/>
                <w:sz w:val="18"/>
                <w:szCs w:val="18"/>
              </w:rPr>
              <w:t xml:space="preserve">965,765</w:t>
            </w:r>
          </w:p>
        </w:tc>
        <w:tc>
          <w:tcPr>
            <w:tcMar>
              <w:top w:type="dxa" w:w="40"/>
              <w:left w:type="dxa" w:w="80"/>
              <w:bottom w:type="dxa" w:w="40"/>
              <w:right w:type="dxa" w:w="80"/>
            </w:tcMar>
          </w:tcPr>
          <w:p>
            <w:pPr>
              <w:jc w:val="right"/>
            </w:pPr>
            <w:r>
              <w:rPr>
                <w:rFonts w:ascii="Arial" w:cs="Arial" w:eastAsia="Arial" w:hAnsi="Arial"/>
                <w:sz w:val="18"/>
                <w:szCs w:val="18"/>
              </w:rPr>
              <w:t xml:space="preserve">983,365</w:t>
            </w:r>
          </w:p>
        </w:tc>
      </w:tr>
      <w:tr>
        <w:tc>
          <w:tcPr>
            <w:tcMar>
              <w:top w:type="dxa" w:w="40"/>
              <w:left w:type="dxa" w:w="80"/>
              <w:bottom w:type="dxa" w:w="40"/>
              <w:right w:type="dxa" w:w="80"/>
            </w:tcMar>
          </w:tcPr>
          <w:p>
            <w:r>
              <w:rPr>
                <w:rFonts w:ascii="Arial" w:cs="Arial" w:eastAsia="Arial" w:hAnsi="Arial"/>
                <w:sz w:val="18"/>
                <w:szCs w:val="18"/>
              </w:rPr>
              <w:t xml:space="preserve">Total debt</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2,144,253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2,182,292</w:t>
            </w:r>
          </w:p>
        </w:tc>
        <w:tc>
          <w:tcPr>
            <w:tcMar>
              <w:top w:type="dxa" w:w="40"/>
              <w:left w:type="dxa" w:w="80"/>
              <w:bottom w:type="dxa" w:w="40"/>
              <w:right w:type="dxa" w:w="80"/>
            </w:tcMar>
          </w:tcPr>
          <w:p>
            <w:pPr>
              <w:jc w:val="right"/>
            </w:pPr>
            <w:r>
              <w:rPr>
                <w:rFonts w:ascii="Arial" w:cs="Arial" w:eastAsia="Arial" w:hAnsi="Arial"/>
                <w:sz w:val="18"/>
                <w:szCs w:val="18"/>
              </w:rPr>
              <w:t xml:space="preserve">2,215,318</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2,313,355</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2,333,695</w:t>
            </w:r>
          </w:p>
        </w:tc>
        <w:tc>
          <w:tcPr>
            <w:tcMar>
              <w:top w:type="dxa" w:w="40"/>
              <w:left w:type="dxa" w:w="80"/>
              <w:bottom w:type="dxa" w:w="40"/>
              <w:right w:type="dxa" w:w="80"/>
            </w:tcMar>
          </w:tcPr>
          <w:p>
            <w:pPr>
              <w:jc w:val="right"/>
            </w:pPr>
            <w:r>
              <w:rPr>
                <w:rFonts w:ascii="Arial" w:cs="Arial" w:eastAsia="Arial" w:hAnsi="Arial"/>
                <w:sz w:val="18"/>
                <w:szCs w:val="18"/>
              </w:rPr>
              <w:t xml:space="preserve">2,273,434</w:t>
            </w:r>
          </w:p>
        </w:tc>
      </w:tr>
      <w:tr>
        <w:tc>
          <w:tcPr>
            <w:tcMar>
              <w:top w:type="dxa" w:w="40"/>
              <w:left w:type="dxa" w:w="80"/>
              <w:bottom w:type="dxa" w:w="40"/>
              <w:right w:type="dxa" w:w="80"/>
            </w:tcMar>
          </w:tcPr>
          <w:p>
            <w:r>
              <w:rPr>
                <w:rFonts w:ascii="Arial" w:cs="Arial" w:eastAsia="Arial" w:hAnsi="Arial"/>
                <w:sz w:val="18"/>
                <w:szCs w:val="18"/>
              </w:rPr>
              <w:t xml:space="preserve">Operating cash flow</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404,090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97,171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188,087</w:t>
            </w:r>
          </w:p>
        </w:tc>
        <w:tc>
          <w:tcPr>
            <w:tcMar>
              <w:top w:type="dxa" w:w="40"/>
              <w:left w:type="dxa" w:w="80"/>
              <w:bottom w:type="dxa" w:w="40"/>
              <w:right w:type="dxa" w:w="80"/>
            </w:tcMar>
          </w:tcPr>
          <w:p>
            <w:pPr>
              <w:jc w:val="right"/>
            </w:pPr>
            <w:r>
              <w:rPr>
                <w:rFonts w:ascii="Arial" w:cs="Arial" w:eastAsia="Arial" w:hAnsi="Arial"/>
                <w:sz w:val="18"/>
                <w:szCs w:val="18"/>
              </w:rPr>
              <w:t xml:space="preserve">-4,531</w:t>
            </w:r>
          </w:p>
        </w:tc>
        <w:tc>
          <w:tcPr>
            <w:tcMar>
              <w:top w:type="dxa" w:w="40"/>
              <w:left w:type="dxa" w:w="80"/>
              <w:bottom w:type="dxa" w:w="40"/>
              <w:right w:type="dxa" w:w="80"/>
            </w:tcMar>
          </w:tcPr>
          <w:p>
            <w:pPr>
              <w:jc w:val="right"/>
            </w:pPr>
            <w:r>
              <w:rPr>
                <w:rFonts w:ascii="Arial" w:cs="Arial" w:eastAsia="Arial" w:hAnsi="Arial"/>
                <w:sz w:val="18"/>
                <w:szCs w:val="18"/>
              </w:rPr>
              <w:t xml:space="preserve">69,920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194,653</w:t>
            </w:r>
          </w:p>
        </w:tc>
        <w:tc>
          <w:tcPr>
            <w:tcMar>
              <w:top w:type="dxa" w:w="40"/>
              <w:left w:type="dxa" w:w="80"/>
              <w:bottom w:type="dxa" w:w="40"/>
              <w:right w:type="dxa" w:w="80"/>
            </w:tcMar>
          </w:tcPr>
          <w:p>
            <w:pPr>
              <w:jc w:val="right"/>
            </w:pPr>
            <w:r>
              <w:rPr>
                <w:rFonts w:ascii="Arial" w:cs="Arial" w:eastAsia="Arial" w:hAnsi="Arial"/>
                <w:sz w:val="18"/>
                <w:szCs w:val="18"/>
              </w:rPr>
              <w:t xml:space="preserve">106,073</w:t>
            </w:r>
          </w:p>
        </w:tc>
      </w:tr>
      <w:tr>
        <w:tc>
          <w:tcPr>
            <w:tcMar>
              <w:top w:type="dxa" w:w="40"/>
              <w:left w:type="dxa" w:w="80"/>
              <w:bottom w:type="dxa" w:w="40"/>
              <w:right w:type="dxa" w:w="80"/>
            </w:tcMar>
          </w:tcPr>
          <w:p>
            <w:r>
              <w:rPr>
                <w:rFonts w:ascii="Arial" w:cs="Arial" w:eastAsia="Arial" w:hAnsi="Arial"/>
                <w:sz w:val="18"/>
                <w:szCs w:val="18"/>
              </w:rPr>
              <w:t xml:space="preserve">Short-term debt</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380,164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478,768</w:t>
            </w:r>
          </w:p>
        </w:tc>
        <w:tc>
          <w:tcPr>
            <w:tcMar>
              <w:top w:type="dxa" w:w="40"/>
              <w:left w:type="dxa" w:w="80"/>
              <w:bottom w:type="dxa" w:w="40"/>
              <w:right w:type="dxa" w:w="80"/>
            </w:tcMar>
          </w:tcPr>
          <w:p>
            <w:pPr>
              <w:jc w:val="right"/>
            </w:pPr>
            <w:r>
              <w:rPr>
                <w:rFonts w:ascii="Arial" w:cs="Arial" w:eastAsia="Arial" w:hAnsi="Arial"/>
                <w:sz w:val="18"/>
                <w:szCs w:val="18"/>
              </w:rPr>
              <w:t xml:space="preserve">461,471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520,812</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513,066</w:t>
            </w:r>
          </w:p>
        </w:tc>
        <w:tc>
          <w:tcPr>
            <w:tcMar>
              <w:top w:type="dxa" w:w="40"/>
              <w:left w:type="dxa" w:w="80"/>
              <w:bottom w:type="dxa" w:w="40"/>
              <w:right w:type="dxa" w:w="80"/>
            </w:tcMar>
          </w:tcPr>
          <w:p>
            <w:pPr>
              <w:jc w:val="right"/>
            </w:pPr>
            <w:r>
              <w:rPr>
                <w:rFonts w:ascii="Arial" w:cs="Arial" w:eastAsia="Arial" w:hAnsi="Arial"/>
                <w:sz w:val="18"/>
                <w:szCs w:val="18"/>
              </w:rPr>
              <w:t xml:space="preserve">477,075</w:t>
            </w:r>
          </w:p>
        </w:tc>
      </w:tr>
      <w:tr>
        <w:tc>
          <w:tcPr>
            <w:tcMar>
              <w:top w:type="dxa" w:w="40"/>
              <w:left w:type="dxa" w:w="80"/>
              <w:bottom w:type="dxa" w:w="40"/>
              <w:right w:type="dxa" w:w="80"/>
            </w:tcMar>
          </w:tcPr>
          <w:p>
            <w:r>
              <w:rPr>
                <w:rFonts w:ascii="Arial" w:cs="Arial" w:eastAsia="Arial" w:hAnsi="Arial"/>
                <w:sz w:val="18"/>
                <w:szCs w:val="18"/>
              </w:rPr>
              <w:t xml:space="preserve">Capital expenditure</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-38,069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-59,261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-129,648</w:t>
            </w:r>
          </w:p>
        </w:tc>
        <w:tc>
          <w:tcPr>
            <w:tcMar>
              <w:top w:type="dxa" w:w="40"/>
              <w:left w:type="dxa" w:w="80"/>
              <w:bottom w:type="dxa" w:w="40"/>
              <w:right w:type="dxa" w:w="80"/>
            </w:tcMar>
          </w:tcPr>
          <w:p>
            <w:pPr>
              <w:jc w:val="right"/>
            </w:pPr>
            <w:r>
              <w:rPr>
                <w:rFonts w:ascii="Arial" w:cs="Arial" w:eastAsia="Arial" w:hAnsi="Arial"/>
                <w:sz w:val="18"/>
                <w:szCs w:val="18"/>
              </w:rPr>
              <w:t xml:space="preserve">-34,276</w:t>
            </w:r>
          </w:p>
        </w:tc>
        <w:tc>
          <w:tcPr>
            <w:tcMar>
              <w:top w:type="dxa" w:w="40"/>
              <w:left w:type="dxa" w:w="80"/>
              <w:bottom w:type="dxa" w:w="40"/>
              <w:right w:type="dxa" w:w="80"/>
            </w:tcMar>
          </w:tcPr>
          <w:p>
            <w:pPr>
              <w:jc w:val="right"/>
            </w:pPr>
            <w:r>
              <w:rPr>
                <w:rFonts w:ascii="Arial" w:cs="Arial" w:eastAsia="Arial" w:hAnsi="Arial"/>
                <w:sz w:val="18"/>
                <w:szCs w:val="18"/>
              </w:rPr>
              <w:t xml:space="preserve">-54,664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-88,330</w:t>
            </w:r>
          </w:p>
        </w:tc>
        <w:tc>
          <w:tcPr>
            <w:tcMar>
              <w:top w:type="dxa" w:w="40"/>
              <w:left w:type="dxa" w:w="80"/>
              <w:bottom w:type="dxa" w:w="40"/>
              <w:right w:type="dxa" w:w="80"/>
            </w:tcMar>
          </w:tcPr>
          <w:p>
            <w:pPr>
              <w:jc w:val="right"/>
            </w:pPr>
            <w:r>
              <w:rPr>
                <w:rFonts w:ascii="Arial" w:cs="Arial" w:eastAsia="Arial" w:hAnsi="Arial"/>
                <w:sz w:val="18"/>
                <w:szCs w:val="18"/>
              </w:rPr>
              <w:t xml:space="preserve">-5,845</w:t>
            </w:r>
          </w:p>
        </w:tc>
      </w:tr>
      <w:tr>
        <w:tc>
          <w:tcPr>
            <w:tcMar>
              <w:top w:type="dxa" w:w="40"/>
              <w:left w:type="dxa" w:w="80"/>
              <w:bottom w:type="dxa" w:w="40"/>
              <w:right w:type="dxa" w:w="80"/>
            </w:tcMar>
          </w:tcPr>
          <w:p>
            <w:r>
              <w:rPr>
                <w:rFonts w:ascii="Arial" w:cs="Arial" w:eastAsia="Arial" w:hAnsi="Arial"/>
                <w:sz w:val="18"/>
                <w:szCs w:val="18"/>
              </w:rPr>
              <w:t xml:space="preserve">Long-term debt</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1,764,089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1,703,524</w:t>
            </w:r>
          </w:p>
        </w:tc>
        <w:tc>
          <w:tcPr>
            <w:tcMar>
              <w:top w:type="dxa" w:w="40"/>
              <w:left w:type="dxa" w:w="80"/>
              <w:bottom w:type="dxa" w:w="40"/>
              <w:right w:type="dxa" w:w="80"/>
            </w:tcMar>
          </w:tcPr>
          <w:p>
            <w:pPr>
              <w:jc w:val="right"/>
            </w:pPr>
            <w:r>
              <w:rPr>
                <w:rFonts w:ascii="Arial" w:cs="Arial" w:eastAsia="Arial" w:hAnsi="Arial"/>
                <w:sz w:val="18"/>
                <w:szCs w:val="18"/>
              </w:rPr>
              <w:t xml:space="preserve">1,753,847</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1,792,543</w:t>
            </w:r>
          </w:p>
        </w:tc>
        <w:tc>
          <w:tcPr>
            <w:tcMar>
              <w:top w:type="dxa" w:w="40"/>
              <w:left w:type="dxa" w:w="80"/>
              <w:bottom w:type="dxa" w:w="40"/>
              <w:right w:type="dxa" w:w="80"/>
            </w:tcMar>
          </w:tcPr>
          <w:p>
            <w:pPr>
              <w:jc w:val="right"/>
            </w:pPr>
            <w:r>
              <w:rPr>
                <w:rFonts w:ascii="Arial" w:cs="Arial" w:eastAsia="Arial" w:hAnsi="Arial"/>
                <w:sz w:val="18"/>
                <w:szCs w:val="18"/>
              </w:rPr>
              <w:t xml:space="preserve">1,765,934</w:t>
            </w:r>
          </w:p>
        </w:tc>
        <w:tc>
          <w:tcPr>
            <w:tcMar>
              <w:top w:type="dxa" w:w="40"/>
              <w:left w:type="dxa" w:w="80"/>
              <w:bottom w:type="dxa" w:w="40"/>
              <w:right w:type="dxa" w:w="80"/>
            </w:tcMar>
          </w:tcPr>
          <w:p>
            <w:pPr>
              <w:jc w:val="right"/>
            </w:pPr>
            <w:r>
              <w:rPr>
                <w:rFonts w:ascii="Arial" w:cs="Arial" w:eastAsia="Arial" w:hAnsi="Arial"/>
                <w:sz w:val="18"/>
                <w:szCs w:val="18"/>
              </w:rPr>
              <w:t xml:space="preserve">1,820,632</w:t>
            </w:r>
          </w:p>
        </w:tc>
        <w:tc>
          <w:tcPr>
            <w:tcMar>
              <w:top w:type="dxa" w:w="40"/>
              <w:left w:type="dxa" w:w="80"/>
              <w:bottom w:type="dxa" w:w="40"/>
              <w:right w:type="dxa" w:w="80"/>
            </w:tcMar>
          </w:tcPr>
          <w:p>
            <w:pPr>
              <w:jc w:val="right"/>
            </w:pPr>
            <w:r>
              <w:rPr>
                <w:rFonts w:ascii="Arial" w:cs="Arial" w:eastAsia="Arial" w:hAnsi="Arial"/>
                <w:sz w:val="18"/>
                <w:szCs w:val="18"/>
              </w:rPr>
              <w:t xml:space="preserve">1,796,359</w:t>
            </w:r>
          </w:p>
        </w:tc>
      </w:tr>
      <w:tr>
        <w:tc>
          <w:tcPr>
            <w:tcMar>
              <w:top w:type="dxa" w:w="40"/>
              <w:left w:type="dxa" w:w="80"/>
              <w:bottom w:type="dxa" w:w="40"/>
              <w:right w:type="dxa" w:w="80"/>
            </w:tcMar>
          </w:tcPr>
          <w:p>
            <w:r>
              <w:rPr>
                <w:rFonts w:ascii="Arial" w:cs="Arial" w:eastAsia="Arial" w:hAnsi="Arial"/>
                <w:sz w:val="18"/>
                <w:szCs w:val="18"/>
              </w:rPr>
              <w:t xml:space="preserve">Dividends paid</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-34,294</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-34,294</w:t>
            </w:r>
          </w:p>
        </w:tc>
        <w:tc>
          <w:tcPr>
            <w:tcMar>
              <w:top w:type="dxa" w:w="40"/>
              <w:left w:type="dxa" w:w="80"/>
              <w:bottom w:type="dxa" w:w="40"/>
              <w:right w:type="dxa" w:w="80"/>
            </w:tcMar>
          </w:tcPr>
          <w:p>
            <w:pPr>
              <w:jc w:val="right"/>
            </w:pPr>
            <w:r>
              <w:rPr>
                <w:rFonts w:ascii="Arial" w:cs="Arial" w:eastAsia="Arial" w:hAnsi="Arial"/>
                <w:sz w:val="18"/>
                <w:szCs w:val="18"/>
              </w:rPr>
              <w:t xml:space="preserve">-45,726</w:t>
            </w:r>
          </w:p>
        </w:tc>
        <w:tc>
          <w:tcPr>
            <w:tcMar>
              <w:top w:type="dxa" w:w="40"/>
              <w:left w:type="dxa" w:w="80"/>
              <w:bottom w:type="dxa" w:w="40"/>
              <w:right w:type="dxa" w:w="80"/>
            </w:tcMar>
          </w:tcPr>
          <w:p>
            <w:pPr>
              <w:jc w:val="right"/>
            </w:pPr>
            <w:r>
              <w:rPr>
                <w:rFonts w:ascii="Arial" w:cs="Arial" w:eastAsia="Arial" w:hAnsi="Arial"/>
                <w:sz w:val="18"/>
                <w:szCs w:val="18"/>
              </w:rPr>
              <w:t xml:space="preserve">-45,726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-45,726</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r>
      <w:tr>
        <w:tc>
          <w:tcPr>
            <w:tcMar>
              <w:top w:type="dxa" w:w="40"/>
              <w:left w:type="dxa" w:w="80"/>
              <w:bottom w:type="dxa" w:w="40"/>
              <w:right w:type="dxa" w:w="80"/>
            </w:tcMar>
          </w:tcPr>
          <w:p>
            <w:r>
              <w:rPr>
                <w:rFonts w:ascii="Arial" w:cs="Arial" w:eastAsia="Arial" w:hAnsi="Arial"/>
                <w:sz w:val="18"/>
                <w:szCs w:val="18"/>
              </w:rPr>
              <w:t xml:space="preserve">Net worth</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1,730,670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1,713,711</w:t>
            </w:r>
          </w:p>
        </w:tc>
        <w:tc>
          <w:tcPr>
            <w:tcMar>
              <w:top w:type="dxa" w:w="40"/>
              <w:left w:type="dxa" w:w="80"/>
              <w:bottom w:type="dxa" w:w="40"/>
              <w:right w:type="dxa" w:w="80"/>
            </w:tcMar>
          </w:tcPr>
          <w:p>
            <w:pPr>
              <w:jc w:val="right"/>
            </w:pPr>
            <w:r>
              <w:rPr>
                <w:rFonts w:ascii="Arial" w:cs="Arial" w:eastAsia="Arial" w:hAnsi="Arial"/>
                <w:sz w:val="18"/>
                <w:szCs w:val="18"/>
              </w:rPr>
              <w:t xml:space="preserve">1,709,284</w:t>
            </w:r>
          </w:p>
        </w:tc>
        <w:tc>
          <w:tcPr>
            <w:tcMar>
              <w:top w:type="dxa" w:w="40"/>
              <w:left w:type="dxa" w:w="80"/>
              <w:bottom w:type="dxa" w:w="40"/>
              <w:right w:type="dxa" w:w="80"/>
            </w:tcMar>
          </w:tcPr>
          <w:p>
            <w:pPr>
              <w:jc w:val="right"/>
            </w:pPr>
            <w:r>
              <w:rPr>
                <w:rFonts w:ascii="Arial" w:cs="Arial" w:eastAsia="Arial" w:hAnsi="Arial"/>
                <w:sz w:val="18"/>
                <w:szCs w:val="18"/>
              </w:rPr>
              <w:t xml:space="preserve">1,691,194</w:t>
            </w:r>
          </w:p>
        </w:tc>
        <w:tc>
          <w:tcPr>
            <w:tcMar>
              <w:top w:type="dxa" w:w="40"/>
              <w:left w:type="dxa" w:w="80"/>
              <w:bottom w:type="dxa" w:w="40"/>
              <w:right w:type="dxa" w:w="80"/>
            </w:tcMar>
          </w:tcPr>
          <w:p>
            <w:pPr>
              <w:jc w:val="right"/>
            </w:pPr>
            <w:r>
              <w:rPr>
                <w:rFonts w:ascii="Arial" w:cs="Arial" w:eastAsia="Arial" w:hAnsi="Arial"/>
                <w:sz w:val="18"/>
                <w:szCs w:val="18"/>
              </w:rPr>
              <w:t xml:space="preserve">1,713,248</w:t>
            </w:r>
          </w:p>
        </w:tc>
        <w:tc>
          <w:tcPr>
            <w:tcMar>
              <w:top w:type="dxa" w:w="40"/>
              <w:left w:type="dxa" w:w="80"/>
              <w:bottom w:type="dxa" w:w="40"/>
              <w:right w:type="dxa" w:w="80"/>
            </w:tcMar>
          </w:tcPr>
          <w:p>
            <w:pPr>
              <w:jc w:val="right"/>
            </w:pPr>
            <w:r>
              <w:rPr>
                <w:rFonts w:ascii="Arial" w:cs="Arial" w:eastAsia="Arial" w:hAnsi="Arial"/>
                <w:sz w:val="18"/>
                <w:szCs w:val="18"/>
              </w:rPr>
              <w:t xml:space="preserve">1,746,870</w:t>
            </w:r>
          </w:p>
        </w:tc>
        <w:tc>
          <w:tcPr>
            <w:tcMar>
              <w:top w:type="dxa" w:w="40"/>
              <w:left w:type="dxa" w:w="80"/>
              <w:bottom w:type="dxa" w:w="40"/>
              <w:right w:type="dxa" w:w="80"/>
            </w:tcMar>
          </w:tcPr>
          <w:p>
            <w:pPr>
              <w:jc w:val="right"/>
            </w:pPr>
            <w:r>
              <w:rPr>
                <w:rFonts w:ascii="Arial" w:cs="Arial" w:eastAsia="Arial" w:hAnsi="Arial"/>
                <w:sz w:val="18"/>
                <w:szCs w:val="18"/>
              </w:rPr>
              <w:t xml:space="preserve">1,776,035</w:t>
            </w:r>
          </w:p>
        </w:tc>
        <w:tc>
          <w:tcPr>
            <w:tcMar>
              <w:top w:type="dxa" w:w="40"/>
              <w:left w:type="dxa" w:w="80"/>
              <w:bottom w:type="dxa" w:w="40"/>
              <w:right w:type="dxa" w:w="80"/>
            </w:tcMar>
          </w:tcPr>
          <w:p>
            <w:pPr>
              <w:jc w:val="right"/>
            </w:pPr>
            <w:r>
              <w:rPr>
                <w:rFonts w:ascii="Arial" w:cs="Arial" w:eastAsia="Arial" w:hAnsi="Arial"/>
                <w:sz w:val="18"/>
                <w:szCs w:val="18"/>
              </w:rPr>
              <w:t xml:space="preserve">1,731,789</w:t>
            </w:r>
          </w:p>
        </w:tc>
      </w:tr>
      <w:tr>
        <w:tc>
          <w:tcPr>
            <w:tcMar>
              <w:top w:type="dxa" w:w="40"/>
              <w:left w:type="dxa" w:w="80"/>
              <w:bottom w:type="dxa" w:w="40"/>
              <w:right w:type="dxa" w:w="80"/>
            </w:tcMar>
          </w:tcPr>
          <w:p>
            <w:r>
              <w:rPr>
                <w:rFonts w:ascii="Arial" w:cs="Arial" w:eastAsia="Arial" w:hAnsi="Arial"/>
                <w:sz w:val="18"/>
                <w:szCs w:val="18"/>
              </w:rPr>
              <w:t xml:space="preserve">Debt service</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814,373</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-311,781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-613,509</w:t>
            </w:r>
          </w:p>
        </w:tc>
        <w:tc>
          <w:tcPr>
            <w:tcMar>
              <w:top w:type="dxa" w:w="40"/>
              <w:left w:type="dxa" w:w="80"/>
              <w:bottom w:type="dxa" w:w="40"/>
              <w:right w:type="dxa" w:w="80"/>
            </w:tcMar>
          </w:tcPr>
          <w:p>
            <w:pPr>
              <w:jc w:val="right"/>
            </w:pPr>
            <w:r>
              <w:rPr>
                <w:rFonts w:ascii="Arial" w:cs="Arial" w:eastAsia="Arial" w:hAnsi="Arial"/>
                <w:sz w:val="18"/>
                <w:szCs w:val="18"/>
              </w:rPr>
              <w:t xml:space="preserve">-185,085</w:t>
            </w:r>
          </w:p>
        </w:tc>
        <w:tc>
          <w:tcPr>
            <w:tcMar>
              <w:top w:type="dxa" w:w="40"/>
              <w:left w:type="dxa" w:w="80"/>
              <w:bottom w:type="dxa" w:w="40"/>
              <w:right w:type="dxa" w:w="80"/>
            </w:tcMar>
          </w:tcPr>
          <w:p>
            <w:pPr>
              <w:jc w:val="right"/>
            </w:pPr>
            <w:r>
              <w:rPr>
                <w:rFonts w:ascii="Arial" w:cs="Arial" w:eastAsia="Arial" w:hAnsi="Arial"/>
                <w:sz w:val="18"/>
                <w:szCs w:val="18"/>
              </w:rPr>
              <w:t xml:space="preserve">-361,161</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-676,999</w:t>
            </w:r>
          </w:p>
        </w:tc>
        <w:tc>
          <w:tcPr>
            <w:tcMar>
              <w:top w:type="dxa" w:w="40"/>
              <w:left w:type="dxa" w:w="80"/>
              <w:bottom w:type="dxa" w:w="40"/>
              <w:right w:type="dxa" w:w="80"/>
            </w:tcMar>
          </w:tcPr>
          <w:p>
            <w:pPr>
              <w:jc w:val="right"/>
            </w:pPr>
            <w:r>
              <w:rPr>
                <w:rFonts w:ascii="Arial" w:cs="Arial" w:eastAsia="Arial" w:hAnsi="Arial"/>
                <w:sz w:val="18"/>
                <w:szCs w:val="18"/>
              </w:rPr>
              <w:t xml:space="preserve">-159,980</w:t>
            </w:r>
          </w:p>
        </w:tc>
      </w:tr>
      <w:tr>
        <w:tc>
          <w:tcPr>
            <w:tcMar>
              <w:top w:type="dxa" w:w="40"/>
              <w:left w:type="dxa" w:w="80"/>
              <w:bottom w:type="dxa" w:w="40"/>
              <w:right w:type="dxa" w:w="80"/>
            </w:tcMar>
          </w:tcPr>
          <w:p>
            <w:r>
              <w:rPr>
                <w:rFonts w:ascii="Arial" w:cs="Arial" w:eastAsia="Arial" w:hAnsi="Arial"/>
                <w:sz w:val="18"/>
                <w:szCs w:val="18"/>
              </w:rPr>
              <w:t xml:space="preserve">Tangible net worth</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1,660,260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1,645,881</w:t>
            </w:r>
          </w:p>
        </w:tc>
        <w:tc>
          <w:tcPr>
            <w:tcMar>
              <w:top w:type="dxa" w:w="40"/>
              <w:left w:type="dxa" w:w="80"/>
              <w:bottom w:type="dxa" w:w="40"/>
              <w:right w:type="dxa" w:w="80"/>
            </w:tcMar>
          </w:tcPr>
          <w:p>
            <w:pPr>
              <w:jc w:val="right"/>
            </w:pPr>
            <w:r>
              <w:rPr>
                <w:rFonts w:ascii="Arial" w:cs="Arial" w:eastAsia="Arial" w:hAnsi="Arial"/>
                <w:sz w:val="18"/>
                <w:szCs w:val="18"/>
              </w:rPr>
              <w:t xml:space="preserve">1,642,170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1,647,739</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1,712,032</w:t>
            </w:r>
          </w:p>
        </w:tc>
        <w:tc>
          <w:tcPr>
            <w:tcMar>
              <w:top w:type="dxa" w:w="40"/>
              <w:left w:type="dxa" w:w="80"/>
              <w:bottom w:type="dxa" w:w="40"/>
              <w:right w:type="dxa" w:w="80"/>
            </w:tcMar>
          </w:tcPr>
          <w:p>
            <w:pPr>
              <w:jc w:val="right"/>
            </w:pPr>
            <w:r>
              <w:rPr>
                <w:rFonts w:ascii="Arial" w:cs="Arial" w:eastAsia="Arial" w:hAnsi="Arial"/>
                <w:sz w:val="18"/>
                <w:szCs w:val="18"/>
              </w:rPr>
              <w:t xml:space="preserve">1,668,494</w:t>
            </w:r>
          </w:p>
        </w:tc>
      </w:tr>
      <w:tr>
        <w:tc>
          <w:tcPr>
            <w:tcMar>
              <w:top w:type="dxa" w:w="40"/>
              <w:left w:type="dxa" w:w="80"/>
              <w:bottom w:type="dxa" w:w="40"/>
              <w:right w:type="dxa" w:w="80"/>
            </w:tcMar>
          </w:tcPr>
          <w:p>
            <w:r>
              <w:rPr>
                <w:rFonts w:ascii="Arial" w:cs="Arial" w:eastAsia="Arial" w:hAnsi="Arial"/>
                <w:sz w:val="18"/>
                <w:szCs w:val="18"/>
              </w:rPr>
              <w:t xml:space="preserve">Related-party balances</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276,930</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284,640</w:t>
            </w:r>
          </w:p>
        </w:tc>
        <w:tc>
          <w:tcPr>
            <w:tcMar>
              <w:top w:type="dxa" w:w="40"/>
              <w:left w:type="dxa" w:w="80"/>
              <w:bottom w:type="dxa" w:w="40"/>
              <w:right w:type="dxa" w:w="80"/>
            </w:tcMar>
          </w:tcPr>
          <w:p>
            <w:pPr>
              <w:jc w:val="right"/>
            </w:pPr>
            <w:r>
              <w:rPr>
                <w:rFonts w:ascii="Arial" w:cs="Arial" w:eastAsia="Arial" w:hAnsi="Arial"/>
                <w:sz w:val="18"/>
                <w:szCs w:val="18"/>
              </w:rPr>
              <w:t xml:space="preserve">288,009</w:t>
            </w:r>
          </w:p>
        </w:tc>
        <w:tc>
          <w:tcPr>
            <w:tcMar>
              <w:top w:type="dxa" w:w="40"/>
              <w:left w:type="dxa" w:w="80"/>
              <w:bottom w:type="dxa" w:w="40"/>
              <w:right w:type="dxa" w:w="80"/>
            </w:tcMar>
          </w:tcPr>
          <w:p>
            <w:pPr>
              <w:jc w:val="right"/>
            </w:pPr>
            <w:r>
              <w:rPr>
                <w:rFonts w:ascii="Arial" w:cs="Arial" w:eastAsia="Arial" w:hAnsi="Arial"/>
                <w:sz w:val="18"/>
                <w:szCs w:val="18"/>
              </w:rPr>
              <w:t xml:space="preserve">295,706</w:t>
            </w:r>
          </w:p>
        </w:tc>
        <w:tc>
          <w:tcPr>
            <w:tcMar>
              <w:top w:type="dxa" w:w="40"/>
              <w:left w:type="dxa" w:w="80"/>
              <w:bottom w:type="dxa" w:w="40"/>
              <w:right w:type="dxa" w:w="80"/>
            </w:tcMar>
          </w:tcPr>
          <w:p>
            <w:pPr>
              <w:jc w:val="right"/>
            </w:pPr>
            <w:r>
              <w:rPr>
                <w:rFonts w:ascii="Arial" w:cs="Arial" w:eastAsia="Arial" w:hAnsi="Arial"/>
                <w:sz w:val="18"/>
                <w:szCs w:val="18"/>
              </w:rPr>
              <w:t xml:space="preserve"/>
            </w:r>
          </w:p>
        </w:tc>
        <w:tc>
          <w:tcPr>
            <w:tcMar>
              <w:top w:type="dxa" w:w="40"/>
              <w:left w:type="dxa" w:w="80"/>
              <w:bottom w:type="dxa" w:w="40"/>
              <w:right w:type="dxa" w:w="80"/>
            </w:tcMar>
          </w:tcPr>
          <w:p>
            <w:pPr>
              <w:jc w:val="right"/>
            </w:pPr>
            <w:r>
              <w:rPr>
                <w:rFonts w:ascii="Arial" w:cs="Arial" w:eastAsia="Arial" w:hAnsi="Arial"/>
                <w:sz w:val="18"/>
                <w:szCs w:val="18"/>
              </w:rPr>
              <w:t xml:space="preserve">330,117</w:t>
            </w:r>
          </w:p>
        </w:tc>
        <w:tc>
          <w:tcPr>
            <w:tcMar>
              <w:top w:type="dxa" w:w="40"/>
              <w:left w:type="dxa" w:w="80"/>
              <w:bottom w:type="dxa" w:w="40"/>
              <w:right w:type="dxa" w:w="80"/>
            </w:tcMar>
          </w:tcPr>
          <w:p>
            <w:pPr>
              <w:jc w:val="right"/>
            </w:pPr>
            <w:r>
              <w:rPr>
                <w:rFonts w:ascii="Arial" w:cs="Arial" w:eastAsia="Arial" w:hAnsi="Arial"/>
                <w:sz w:val="18"/>
                <w:szCs w:val="18"/>
              </w:rPr>
              <w:t xml:space="preserve">310,294</w:t>
            </w:r>
          </w:p>
        </w:tc>
      </w:tr>
    </w:tbl>
    <w:p>
      <w:pPr>
        <w:spacing w:after="40"/>
      </w:pPr>
      <w:r>
        <w:rPr>
          <w:rFonts w:ascii="Arial" w:cs="Arial" w:eastAsia="Arial" w:hAnsi="Arial"/>
          <w:sz w:val="20"/>
          <w:szCs w:val="20"/>
        </w:rPr>
        <w:t xml:space="preserve"/>
      </w:r>
    </w:p>
    <w:p>
      <w:pPr>
        <w:spacing w:after="120"/>
      </w:pPr>
      <w:r>
        <w:rPr>
          <w:rFonts w:ascii="Arial" w:cs="Arial" w:eastAsia="Arial" w:hAnsi="Arial"/>
          <w:b/>
          <w:bCs/>
          <w:sz w:val="20"/>
          <w:szCs w:val="20"/>
        </w:rPr>
        <w:t xml:space="preserve">Revenue Breakdown</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Source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Q1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6M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9M 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FY2025</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3M 2026</w:t>
            </w:r>
          </w:p>
        </w:tc>
      </w:tr>
      <w:tr>
        <w:tc>
          <w:tcPr>
            <w:tcMar>
              <w:top w:type="dxa" w:w="40"/>
              <w:left w:type="dxa" w:w="80"/>
              <w:bottom w:type="dxa" w:w="40"/>
              <w:right w:type="dxa" w:w="80"/>
            </w:tcMar>
          </w:tcPr>
          <w:p>
            <w:r>
              <w:rPr>
                <w:rFonts w:ascii="Arial" w:cs="Arial" w:eastAsia="Arial" w:hAnsi="Arial"/>
                <w:sz w:val="18"/>
                <w:szCs w:val="18"/>
              </w:rPr>
              <w:t xml:space="preserve">Revenue from contract with customers</w:t>
            </w:r>
          </w:p>
        </w:tc>
        <w:tc>
          <w:tcPr>
            <w:tcMar>
              <w:top w:type="dxa" w:w="40"/>
              <w:left w:type="dxa" w:w="80"/>
              <w:bottom w:type="dxa" w:w="40"/>
              <w:right w:type="dxa" w:w="80"/>
            </w:tcMar>
          </w:tcPr>
          <w:p>
            <w:pPr>
              <w:jc w:val="right"/>
            </w:pPr>
            <w:r>
              <w:rPr>
                <w:rFonts w:ascii="Arial" w:cs="Arial" w:eastAsia="Arial" w:hAnsi="Arial"/>
                <w:sz w:val="18"/>
                <w:szCs w:val="18"/>
              </w:rPr>
              <w:t xml:space="preserve">1,008,582</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376,340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1,140,855</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370,840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1,231,196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Real-estate Revenue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28,436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27,679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Real estate revenue</w:t>
            </w:r>
          </w:p>
        </w:tc>
        <w:tc>
          <w:tcPr>
            <w:tcMar>
              <w:top w:type="dxa" w:w="40"/>
              <w:left w:type="dxa" w:w="80"/>
              <w:bottom w:type="dxa" w:w="40"/>
              <w:right w:type="dxa" w:w="80"/>
            </w:tcMar>
          </w:tcPr>
          <w:p>
            <w:pPr>
              <w:jc w:val="right"/>
            </w:pPr>
            <w:r>
              <w:rPr>
                <w:rFonts w:ascii="Arial" w:cs="Arial" w:eastAsia="Arial" w:hAnsi="Arial"/>
                <w:sz w:val="18"/>
                <w:szCs w:val="18"/>
              </w:rPr>
              <w:t xml:space="preserve">85,431</w:t>
            </w:r>
          </w:p>
        </w:tc>
        <w:tc>
          <w:tcPr>
            <w:tcMar>
              <w:top w:type="dxa" w:w="40"/>
              <w:left w:type="dxa" w:w="80"/>
              <w:bottom w:type="dxa" w:w="40"/>
              <w:right w:type="dxa" w:w="80"/>
            </w:tcMar>
          </w:tcPr>
          <w:p>
            <w:pPr>
              <w:jc w:val="right"/>
            </w:pPr>
            <w:r>
              <w:rPr>
                <w:rFonts w:ascii="Arial" w:cs="Arial" w:eastAsia="Arial" w:hAnsi="Arial"/>
                <w:sz w:val="18"/>
                <w:szCs w:val="18"/>
              </w:rPr>
              <w:t xml:space="preserve">116,053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59,948</w:t>
            </w:r>
          </w:p>
        </w:tc>
        <w:tc>
          <w:tcPr>
            <w:tcMar>
              <w:top w:type="dxa" w:w="40"/>
              <w:left w:type="dxa" w:w="80"/>
              <w:bottom w:type="dxa" w:w="40"/>
              <w:right w:type="dxa" w:w="80"/>
            </w:tcMar>
          </w:tcPr>
          <w:p>
            <w:pPr>
              <w:jc w:val="right"/>
            </w:pPr>
            <w:r>
              <w:rPr>
                <w:rFonts w:ascii="Arial" w:cs="Arial" w:eastAsia="Arial" w:hAnsi="Arial"/>
                <w:sz w:val="18"/>
                <w:szCs w:val="18"/>
              </w:rPr>
              <w:t xml:space="preserve">88,959</w:t>
            </w:r>
          </w:p>
        </w:tc>
        <w:tc>
          <w:tcPr>
            <w:tcMar>
              <w:top w:type="dxa" w:w="40"/>
              <w:left w:type="dxa" w:w="80"/>
              <w:bottom w:type="dxa" w:w="40"/>
              <w:right w:type="dxa" w:w="80"/>
            </w:tcMar>
          </w:tcPr>
          <w:p>
            <w:pPr>
              <w:jc w:val="right"/>
            </w:pPr>
            <w:r>
              <w:rPr>
                <w:rFonts w:ascii="Arial" w:cs="Arial" w:eastAsia="Arial" w:hAnsi="Arial"/>
                <w:sz w:val="18"/>
                <w:szCs w:val="18"/>
              </w:rPr>
              <w:t xml:space="preserve">114,866</w:t>
            </w:r>
          </w:p>
        </w:tc>
        <w:tc>
          <w:tcPr>
            <w:tcMar>
              <w:top w:type="dxa" w:w="40"/>
              <w:left w:type="dxa" w:w="80"/>
              <w:bottom w:type="dxa" w:w="40"/>
              <w:right w:type="dxa" w:w="80"/>
            </w:tcMar>
          </w:tcPr>
          <w:p>
            <w:pPr>
              <w:jc w:val="right"/>
            </w:pPr>
            <w:r>
              <w:rPr>
                <w:rFonts w:ascii="Arial" w:cs="Arial" w:eastAsia="Arial" w:hAnsi="Arial"/>
                <w:sz w:val="18"/>
                <w:szCs w:val="18"/>
              </w:rPr>
              <w:t xml:space="preserve">28,249</w:t>
            </w:r>
          </w:p>
        </w:tc>
        <w:tc>
          <w:tcPr>
            <w:tcMar>
              <w:top w:type="dxa" w:w="40"/>
              <w:left w:type="dxa" w:w="80"/>
              <w:bottom w:type="dxa" w:w="40"/>
              <w:right w:type="dxa" w:w="80"/>
            </w:tcMar>
          </w:tcPr>
          <w:p>
            <w:pPr>
              <w:jc w:val="right"/>
            </w:pPr>
            <w:r>
              <w:rPr>
                <w:rFonts w:ascii="Arial" w:cs="Arial" w:eastAsia="Arial" w:hAnsi="Arial"/>
                <w:sz w:val="18"/>
                <w:szCs w:val="18"/>
              </w:rPr>
              <w:t xml:space="preserve">56,586</w:t>
            </w:r>
          </w:p>
        </w:tc>
        <w:tc>
          <w:tcPr>
            <w:tcMar>
              <w:top w:type="dxa" w:w="40"/>
              <w:left w:type="dxa" w:w="80"/>
              <w:bottom w:type="dxa" w:w="40"/>
              <w:right w:type="dxa" w:w="80"/>
            </w:tcMar>
          </w:tcPr>
          <w:p>
            <w:pPr>
              <w:jc w:val="right"/>
            </w:pPr>
            <w:r>
              <w:rPr>
                <w:rFonts w:ascii="Arial" w:cs="Arial" w:eastAsia="Arial" w:hAnsi="Arial"/>
                <w:sz w:val="18"/>
                <w:szCs w:val="18"/>
              </w:rPr>
              <w:t xml:space="preserve">85,484</w:t>
            </w:r>
          </w:p>
        </w:tc>
        <w:tc>
          <w:tcPr>
            <w:tcMar>
              <w:top w:type="dxa" w:w="40"/>
              <w:left w:type="dxa" w:w="80"/>
              <w:bottom w:type="dxa" w:w="40"/>
              <w:right w:type="dxa" w:w="80"/>
            </w:tcMar>
          </w:tcPr>
          <w:p>
            <w:pPr>
              <w:jc w:val="right"/>
            </w:pPr>
            <w:r>
              <w:rPr>
                <w:rFonts w:ascii="Arial" w:cs="Arial" w:eastAsia="Arial" w:hAnsi="Arial"/>
                <w:sz w:val="18"/>
                <w:szCs w:val="18"/>
              </w:rPr>
              <w:t xml:space="preserve">114,274</w:t>
            </w:r>
          </w:p>
        </w:tc>
        <w:tc>
          <w:tcPr>
            <w:tcMar>
              <w:top w:type="dxa" w:w="40"/>
              <w:left w:type="dxa" w:w="80"/>
              <w:bottom w:type="dxa" w:w="40"/>
              <w:right w:type="dxa" w:w="80"/>
            </w:tcMar>
          </w:tcPr>
          <w:p>
            <w:pPr>
              <w:jc w:val="right"/>
            </w:pPr>
            <w:r>
              <w:rPr>
                <w:rFonts w:ascii="Arial" w:cs="Arial" w:eastAsia="Arial" w:hAnsi="Arial"/>
                <w:sz w:val="18"/>
                <w:szCs w:val="18"/>
              </w:rPr>
              <w:t xml:space="preserve">27,955</w:t>
            </w:r>
          </w:p>
        </w:tc>
      </w:tr>
      <w:tr>
        <w:tc>
          <w:tcPr>
            <w:tcMar>
              <w:top w:type="dxa" w:w="40"/>
              <w:left w:type="dxa" w:w="80"/>
              <w:bottom w:type="dxa" w:w="40"/>
              <w:right w:type="dxa" w:w="80"/>
            </w:tcMar>
          </w:tcPr>
          <w:p>
            <w:r>
              <w:rPr>
                <w:rFonts w:ascii="Arial" w:cs="Arial" w:eastAsia="Arial" w:hAnsi="Arial"/>
                <w:sz w:val="18"/>
                <w:szCs w:val="18"/>
              </w:rPr>
              <w:t xml:space="preserve">Contract revenue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552,528</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310,826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607,793</w:t>
            </w:r>
          </w:p>
        </w:tc>
        <w:tc>
          <w:tcPr>
            <w:tcMar>
              <w:top w:type="dxa" w:w="40"/>
              <w:left w:type="dxa" w:w="80"/>
              <w:bottom w:type="dxa" w:w="40"/>
              <w:right w:type="dxa" w:w="80"/>
            </w:tcMar>
          </w:tcPr>
          <w:p>
            <w:pPr>
              <w:jc w:val="right"/>
            </w:pPr>
            <w:r>
              <w:rPr>
                <w:rFonts w:ascii="Arial" w:cs="Arial" w:eastAsia="Arial" w:hAnsi="Arial"/>
                <w:sz w:val="18"/>
                <w:szCs w:val="18"/>
              </w:rPr>
              <w:t xml:space="preserve">135,401</w:t>
            </w:r>
          </w:p>
        </w:tc>
        <w:tc>
          <w:tcPr>
            <w:tcMar>
              <w:top w:type="dxa" w:w="40"/>
              <w:left w:type="dxa" w:w="80"/>
              <w:bottom w:type="dxa" w:w="40"/>
              <w:right w:type="dxa" w:w="80"/>
            </w:tcMar>
          </w:tcPr>
          <w:p>
            <w:pPr>
              <w:jc w:val="right"/>
            </w:pPr>
            <w:r>
              <w:rPr>
                <w:rFonts w:ascii="Arial" w:cs="Arial" w:eastAsia="Arial" w:hAnsi="Arial"/>
                <w:sz w:val="18"/>
                <w:szCs w:val="18"/>
              </w:rPr>
              <w:t xml:space="preserve">304,617</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154,596</w:t>
            </w:r>
          </w:p>
        </w:tc>
      </w:tr>
      <w:tr>
        <w:tc>
          <w:tcPr>
            <w:tcMar>
              <w:top w:type="dxa" w:w="40"/>
              <w:left w:type="dxa" w:w="80"/>
              <w:bottom w:type="dxa" w:w="40"/>
              <w:right w:type="dxa" w:w="80"/>
            </w:tcMar>
          </w:tcPr>
          <w:p>
            <w:r>
              <w:rPr>
                <w:rFonts w:ascii="Arial" w:cs="Arial" w:eastAsia="Arial" w:hAnsi="Arial"/>
                <w:sz w:val="18"/>
                <w:szCs w:val="18"/>
              </w:rPr>
              <w:t xml:space="preserve">Revenue from sale of goods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762,668</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422,912</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848,694</w:t>
            </w:r>
          </w:p>
        </w:tc>
        <w:tc>
          <w:tcPr>
            <w:tcMar>
              <w:top w:type="dxa" w:w="40"/>
              <w:left w:type="dxa" w:w="80"/>
              <w:bottom w:type="dxa" w:w="40"/>
              <w:right w:type="dxa" w:w="80"/>
            </w:tcMar>
          </w:tcPr>
          <w:p>
            <w:pPr>
              <w:jc w:val="right"/>
            </w:pPr>
            <w:r>
              <w:rPr>
                <w:rFonts w:ascii="Arial" w:cs="Arial" w:eastAsia="Arial" w:hAnsi="Arial"/>
                <w:sz w:val="18"/>
                <w:szCs w:val="18"/>
              </w:rPr>
              <w:t xml:space="preserve">207,410</w:t>
            </w:r>
          </w:p>
        </w:tc>
        <w:tc>
          <w:tcPr>
            <w:tcMar>
              <w:top w:type="dxa" w:w="40"/>
              <w:left w:type="dxa" w:w="80"/>
              <w:bottom w:type="dxa" w:w="40"/>
              <w:right w:type="dxa" w:w="80"/>
            </w:tcMar>
          </w:tcPr>
          <w:p>
            <w:pPr>
              <w:jc w:val="right"/>
            </w:pPr>
            <w:r>
              <w:rPr>
                <w:rFonts w:ascii="Arial" w:cs="Arial" w:eastAsia="Arial" w:hAnsi="Arial"/>
                <w:sz w:val="18"/>
                <w:szCs w:val="18"/>
              </w:rPr>
              <w:t xml:space="preserve">420,584</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221,615</w:t>
            </w:r>
          </w:p>
        </w:tc>
      </w:tr>
      <w:tr>
        <w:tc>
          <w:tcPr>
            <w:tcMar>
              <w:top w:type="dxa" w:w="40"/>
              <w:left w:type="dxa" w:w="80"/>
              <w:bottom w:type="dxa" w:w="40"/>
              <w:right w:type="dxa" w:w="80"/>
            </w:tcMar>
          </w:tcPr>
          <w:p>
            <w:r>
              <w:rPr>
                <w:rFonts w:ascii="Arial" w:cs="Arial" w:eastAsia="Arial" w:hAnsi="Arial"/>
                <w:sz w:val="18"/>
                <w:szCs w:val="18"/>
              </w:rPr>
              <w:t xml:space="preserve">Service revenue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107,345</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58,331</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110,343</w:t>
            </w:r>
          </w:p>
        </w:tc>
        <w:tc>
          <w:tcPr>
            <w:tcMar>
              <w:top w:type="dxa" w:w="40"/>
              <w:left w:type="dxa" w:w="80"/>
              <w:bottom w:type="dxa" w:w="40"/>
              <w:right w:type="dxa" w:w="80"/>
            </w:tcMar>
          </w:tcPr>
          <w:p>
            <w:pPr>
              <w:jc w:val="right"/>
            </w:pPr>
            <w:r>
              <w:rPr>
                <w:rFonts w:ascii="Arial" w:cs="Arial" w:eastAsia="Arial" w:hAnsi="Arial"/>
                <w:sz w:val="18"/>
                <w:szCs w:val="18"/>
              </w:rPr>
              <w:t xml:space="preserve">28,029</w:t>
            </w:r>
          </w:p>
        </w:tc>
        <w:tc>
          <w:tcPr>
            <w:tcMar>
              <w:top w:type="dxa" w:w="40"/>
              <w:left w:type="dxa" w:w="80"/>
              <w:bottom w:type="dxa" w:w="40"/>
              <w:right w:type="dxa" w:w="80"/>
            </w:tcMar>
          </w:tcPr>
          <w:p>
            <w:pPr>
              <w:jc w:val="right"/>
            </w:pPr>
            <w:r>
              <w:rPr>
                <w:rFonts w:ascii="Arial" w:cs="Arial" w:eastAsia="Arial" w:hAnsi="Arial"/>
                <w:sz w:val="18"/>
                <w:szCs w:val="18"/>
              </w:rPr>
              <w:t xml:space="preserve">56,373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26,406</w:t>
            </w:r>
          </w:p>
        </w:tc>
      </w:tr>
      <w:tr>
        <w:tc>
          <w:tcPr>
            <w:tcMar>
              <w:top w:type="dxa" w:w="40"/>
              <w:left w:type="dxa" w:w="80"/>
              <w:bottom w:type="dxa" w:w="40"/>
              <w:right w:type="dxa" w:w="80"/>
            </w:tcMar>
          </w:tcPr>
          <w:p>
            <w:r>
              <w:rPr>
                <w:rFonts w:ascii="Arial" w:cs="Arial" w:eastAsia="Arial" w:hAnsi="Arial"/>
                <w:sz w:val="18"/>
                <w:szCs w:val="18"/>
              </w:rPr>
              <w:t xml:space="preserve">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1,422,541</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792,069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1,566,830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781,573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1,751,929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State of Qatar 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664,266</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669,400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United Arab Emirates 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71,043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65,073</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r>
        <w:tc>
          <w:tcPr>
            <w:tcMar>
              <w:top w:type="dxa" w:w="40"/>
              <w:left w:type="dxa" w:w="80"/>
              <w:bottom w:type="dxa" w:w="40"/>
              <w:right w:type="dxa" w:w="80"/>
            </w:tcMar>
          </w:tcPr>
          <w:p>
            <w:r>
              <w:rPr>
                <w:rFonts w:ascii="Arial" w:cs="Arial" w:eastAsia="Arial" w:hAnsi="Arial"/>
                <w:sz w:val="18"/>
                <w:szCs w:val="18"/>
              </w:rPr>
              <w:t xml:space="preserve">Other geographic revenue from contracts with customers</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56,760</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47,099</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c>
          <w:tcPr>
            <w:tcMar>
              <w:top w:type="dxa" w:w="40"/>
              <w:left w:type="dxa" w:w="80"/>
              <w:bottom w:type="dxa" w:w="40"/>
              <w:right w:type="dxa" w:w="80"/>
            </w:tcMar>
          </w:tcPr>
          <w:p>
            <w:pPr>
              <w:jc w:val="right"/>
            </w:pPr>
            <w:r>
              <w:rPr>
                <w:rFonts w:ascii="Arial" w:cs="Arial" w:eastAsia="Arial" w:hAnsi="Arial"/>
                <w:sz w:val="18"/>
                <w:szCs w:val="18"/>
              </w:rPr>
              <w:t xml:space="preserve">—</w:t>
            </w:r>
          </w:p>
        </w:tc>
      </w:tr>
    </w:tbl>
    <w:p>
      <w:pPr>
        <w:spacing w:after="4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Ratio</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Value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Assessment</w:t>
            </w:r>
          </w:p>
        </w:tc>
      </w:tr>
      <w:tr>
        <w:tc>
          <w:tcPr>
            <w:tcMar>
              <w:top w:type="dxa" w:w="40"/>
              <w:left w:type="dxa" w:w="80"/>
              <w:bottom w:type="dxa" w:w="40"/>
              <w:right w:type="dxa" w:w="80"/>
            </w:tcMar>
          </w:tcPr>
          <w:p>
            <w:r>
              <w:rPr>
                <w:rFonts w:ascii="Arial" w:cs="Arial" w:eastAsia="Arial" w:hAnsi="Arial"/>
                <w:sz w:val="18"/>
                <w:szCs w:val="18"/>
              </w:rPr>
              <w:t xml:space="preserve">Debt service coverage (DSCR) (FY2025)</w:t>
            </w:r>
          </w:p>
        </w:tc>
        <w:tc>
          <w:tcPr>
            <w:tcMar>
              <w:top w:type="dxa" w:w="40"/>
              <w:left w:type="dxa" w:w="80"/>
              <w:bottom w:type="dxa" w:w="40"/>
              <w:right w:type="dxa" w:w="80"/>
            </w:tcMar>
          </w:tcPr>
          <w:p>
            <w:pPr>
              <w:jc w:val="right"/>
            </w:pPr>
            <w:r>
              <w:rPr>
                <w:rFonts w:ascii="Arial" w:cs="Arial" w:eastAsia="Arial" w:hAnsi="Arial"/>
                <w:sz w:val="18"/>
                <w:szCs w:val="18"/>
              </w:rPr>
              <w:t xml:space="preserve">0.40x</w:t>
            </w:r>
          </w:p>
        </w:tc>
        <w:tc>
          <w:tcPr>
            <w:tcMar>
              <w:top w:type="dxa" w:w="40"/>
              <w:left w:type="dxa" w:w="80"/>
              <w:bottom w:type="dxa" w:w="40"/>
              <w:right w:type="dxa" w:w="80"/>
            </w:tcMar>
          </w:tcPr>
          <w:p>
            <w:r>
              <w:rPr>
                <w:rFonts w:ascii="Arial" w:cs="Arial" w:eastAsia="Arial" w:hAnsi="Arial"/>
                <w:sz w:val="18"/>
                <w:szCs w:val="18"/>
              </w:rPr>
              <w:t xml:space="preserve">WEAK</w:t>
            </w:r>
          </w:p>
        </w:tc>
      </w:tr>
      <w:tr>
        <w:tc>
          <w:tcPr>
            <w:tcMar>
              <w:top w:type="dxa" w:w="40"/>
              <w:left w:type="dxa" w:w="80"/>
              <w:bottom w:type="dxa" w:w="40"/>
              <w:right w:type="dxa" w:w="80"/>
            </w:tcMar>
          </w:tcPr>
          <w:p>
            <w:r>
              <w:rPr>
                <w:rFonts w:ascii="Arial" w:cs="Arial" w:eastAsia="Arial" w:hAnsi="Arial"/>
                <w:sz w:val="18"/>
                <w:szCs w:val="18"/>
              </w:rPr>
              <w:t xml:space="preserve">Interest coverage (EBITDA / interest) (FY2025)</w:t>
            </w:r>
          </w:p>
        </w:tc>
        <w:tc>
          <w:tcPr>
            <w:tcMar>
              <w:top w:type="dxa" w:w="40"/>
              <w:left w:type="dxa" w:w="80"/>
              <w:bottom w:type="dxa" w:w="40"/>
              <w:right w:type="dxa" w:w="80"/>
            </w:tcMar>
          </w:tcPr>
          <w:p>
            <w:pPr>
              <w:jc w:val="right"/>
            </w:pPr>
            <w:r>
              <w:rPr>
                <w:rFonts w:ascii="Arial" w:cs="Arial" w:eastAsia="Arial" w:hAnsi="Arial"/>
                <w:sz w:val="18"/>
                <w:szCs w:val="18"/>
              </w:rPr>
              <w:t xml:space="preserve">2.37x</w:t>
            </w:r>
          </w:p>
        </w:tc>
        <w:tc>
          <w:tcPr>
            <w:tcMar>
              <w:top w:type="dxa" w:w="40"/>
              <w:left w:type="dxa" w:w="80"/>
              <w:bottom w:type="dxa" w:w="40"/>
              <w:right w:type="dxa" w:w="80"/>
            </w:tcMar>
          </w:tcPr>
          <w:p>
            <w:r>
              <w:rPr>
                <w:rFonts w:ascii="Arial" w:cs="Arial" w:eastAsia="Arial" w:hAnsi="Arial"/>
                <w:sz w:val="18"/>
                <w:szCs w:val="18"/>
              </w:rPr>
              <w:t xml:space="preserve">ACCEPTABLE</w:t>
            </w:r>
          </w:p>
        </w:tc>
      </w:tr>
      <w:tr>
        <w:tc>
          <w:tcPr>
            <w:tcMar>
              <w:top w:type="dxa" w:w="40"/>
              <w:left w:type="dxa" w:w="80"/>
              <w:bottom w:type="dxa" w:w="40"/>
              <w:right w:type="dxa" w:w="80"/>
            </w:tcMar>
          </w:tcPr>
          <w:p>
            <w:r>
              <w:rPr>
                <w:rFonts w:ascii="Arial" w:cs="Arial" w:eastAsia="Arial" w:hAnsi="Arial"/>
                <w:sz w:val="18"/>
                <w:szCs w:val="18"/>
              </w:rPr>
              <w:t xml:space="preserve">Leverage (total liabilities / tangible net worth) (FY2025)</w:t>
            </w:r>
          </w:p>
        </w:tc>
        <w:tc>
          <w:tcPr>
            <w:tcMar>
              <w:top w:type="dxa" w:w="40"/>
              <w:left w:type="dxa" w:w="80"/>
              <w:bottom w:type="dxa" w:w="40"/>
              <w:right w:type="dxa" w:w="80"/>
            </w:tcMar>
          </w:tcPr>
          <w:p>
            <w:pPr>
              <w:jc w:val="right"/>
            </w:pPr>
            <w:r>
              <w:rPr>
                <w:rFonts w:ascii="Arial" w:cs="Arial" w:eastAsia="Arial" w:hAnsi="Arial"/>
                <w:sz w:val="18"/>
                <w:szCs w:val="18"/>
              </w:rPr>
              <w:t xml:space="preserve">1.70x</w:t>
            </w:r>
          </w:p>
        </w:tc>
        <w:tc>
          <w:tcPr>
            <w:tcMar>
              <w:top w:type="dxa" w:w="40"/>
              <w:left w:type="dxa" w:w="80"/>
              <w:bottom w:type="dxa" w:w="40"/>
              <w:right w:type="dxa" w:w="80"/>
            </w:tcMar>
          </w:tcPr>
          <w:p>
            <w:r>
              <w:rPr>
                <w:rFonts w:ascii="Arial" w:cs="Arial" w:eastAsia="Arial" w:hAnsi="Arial"/>
                <w:sz w:val="18"/>
                <w:szCs w:val="18"/>
              </w:rPr>
              <w:t xml:space="preserve">ACCEPTABLE</w:t>
            </w:r>
          </w:p>
        </w:tc>
      </w:tr>
      <w:tr>
        <w:tc>
          <w:tcPr>
            <w:tcMar>
              <w:top w:type="dxa" w:w="40"/>
              <w:left w:type="dxa" w:w="80"/>
              <w:bottom w:type="dxa" w:w="40"/>
              <w:right w:type="dxa" w:w="80"/>
            </w:tcMar>
          </w:tcPr>
          <w:p>
            <w:r>
              <w:rPr>
                <w:rFonts w:ascii="Arial" w:cs="Arial" w:eastAsia="Arial" w:hAnsi="Arial"/>
                <w:sz w:val="18"/>
                <w:szCs w:val="18"/>
              </w:rPr>
              <w:t xml:space="preserve">Current ratio (FY2025)</w:t>
            </w:r>
          </w:p>
        </w:tc>
        <w:tc>
          <w:tcPr>
            <w:tcMar>
              <w:top w:type="dxa" w:w="40"/>
              <w:left w:type="dxa" w:w="80"/>
              <w:bottom w:type="dxa" w:w="40"/>
              <w:right w:type="dxa" w:w="80"/>
            </w:tcMar>
          </w:tcPr>
          <w:p>
            <w:pPr>
              <w:jc w:val="right"/>
            </w:pPr>
            <w:r>
              <w:rPr>
                <w:rFonts w:ascii="Arial" w:cs="Arial" w:eastAsia="Arial" w:hAnsi="Arial"/>
                <w:sz w:val="18"/>
                <w:szCs w:val="18"/>
              </w:rPr>
              <w:t xml:space="preserve">1.60x</w:t>
            </w:r>
          </w:p>
        </w:tc>
        <w:tc>
          <w:tcPr>
            <w:tcMar>
              <w:top w:type="dxa" w:w="40"/>
              <w:left w:type="dxa" w:w="80"/>
              <w:bottom w:type="dxa" w:w="40"/>
              <w:right w:type="dxa" w:w="80"/>
            </w:tcMar>
          </w:tcPr>
          <w:p>
            <w:r>
              <w:rPr>
                <w:rFonts w:ascii="Arial" w:cs="Arial" w:eastAsia="Arial" w:hAnsi="Arial"/>
                <w:sz w:val="18"/>
                <w:szCs w:val="18"/>
              </w:rPr>
              <w:t xml:space="preserve">GOOD</w:t>
            </w:r>
          </w:p>
        </w:tc>
      </w:tr>
      <w:tr>
        <w:tc>
          <w:tcPr>
            <w:tcMar>
              <w:top w:type="dxa" w:w="40"/>
              <w:left w:type="dxa" w:w="80"/>
              <w:bottom w:type="dxa" w:w="40"/>
              <w:right w:type="dxa" w:w="80"/>
            </w:tcMar>
          </w:tcPr>
          <w:p>
            <w:r>
              <w:rPr>
                <w:rFonts w:ascii="Arial" w:cs="Arial" w:eastAsia="Arial" w:hAnsi="Arial"/>
                <w:sz w:val="18"/>
                <w:szCs w:val="18"/>
              </w:rPr>
              <w:t xml:space="preserve">Revenue trend (latest year) (FY2025)</w:t>
            </w:r>
          </w:p>
        </w:tc>
        <w:tc>
          <w:tcPr>
            <w:tcMar>
              <w:top w:type="dxa" w:w="40"/>
              <w:left w:type="dxa" w:w="80"/>
              <w:bottom w:type="dxa" w:w="40"/>
              <w:right w:type="dxa" w:w="80"/>
            </w:tcMar>
          </w:tcPr>
          <w:p>
            <w:pPr>
              <w:jc w:val="right"/>
            </w:pPr>
            <w:r>
              <w:rPr>
                <w:rFonts w:ascii="Arial" w:cs="Arial" w:eastAsia="Arial" w:hAnsi="Arial"/>
                <w:sz w:val="18"/>
                <w:szCs w:val="18"/>
              </w:rPr>
              <w:t xml:space="preserve">10.8%</w:t>
            </w:r>
          </w:p>
        </w:tc>
        <w:tc>
          <w:tcPr>
            <w:tcMar>
              <w:top w:type="dxa" w:w="40"/>
              <w:left w:type="dxa" w:w="80"/>
              <w:bottom w:type="dxa" w:w="40"/>
              <w:right w:type="dxa" w:w="80"/>
            </w:tcMar>
          </w:tcPr>
          <w:p>
            <w:r>
              <w:rPr>
                <w:rFonts w:ascii="Arial" w:cs="Arial" w:eastAsia="Arial" w:hAnsi="Arial"/>
                <w:sz w:val="18"/>
                <w:szCs w:val="18"/>
              </w:rPr>
              <w:t xml:space="preserve">GOOD</w:t>
            </w:r>
          </w:p>
        </w:tc>
      </w:tr>
      <w:tr>
        <w:tc>
          <w:tcPr>
            <w:tcMar>
              <w:top w:type="dxa" w:w="40"/>
              <w:left w:type="dxa" w:w="80"/>
              <w:bottom w:type="dxa" w:w="40"/>
              <w:right w:type="dxa" w:w="80"/>
            </w:tcMar>
          </w:tcPr>
          <w:p>
            <w:r>
              <w:rPr>
                <w:rFonts w:ascii="Arial" w:cs="Arial" w:eastAsia="Arial" w:hAnsi="Arial"/>
                <w:sz w:val="18"/>
                <w:szCs w:val="18"/>
              </w:rPr>
              <w:t xml:space="preserve">Profitability (net margin) (FY2025)</w:t>
            </w:r>
          </w:p>
        </w:tc>
        <w:tc>
          <w:tcPr>
            <w:tcMar>
              <w:top w:type="dxa" w:w="40"/>
              <w:left w:type="dxa" w:w="80"/>
              <w:bottom w:type="dxa" w:w="40"/>
              <w:right w:type="dxa" w:w="80"/>
            </w:tcMar>
          </w:tcPr>
          <w:p>
            <w:pPr>
              <w:jc w:val="right"/>
            </w:pPr>
            <w:r>
              <w:rPr>
                <w:rFonts w:ascii="Arial" w:cs="Arial" w:eastAsia="Arial" w:hAnsi="Arial"/>
                <w:sz w:val="18"/>
                <w:szCs w:val="18"/>
              </w:rPr>
              <w:t xml:space="preserve">5.5%</w:t>
            </w:r>
          </w:p>
        </w:tc>
        <w:tc>
          <w:tcPr>
            <w:tcMar>
              <w:top w:type="dxa" w:w="40"/>
              <w:left w:type="dxa" w:w="80"/>
              <w:bottom w:type="dxa" w:w="40"/>
              <w:right w:type="dxa" w:w="80"/>
            </w:tcMar>
          </w:tcPr>
          <w:p>
            <w:r>
              <w:rPr>
                <w:rFonts w:ascii="Arial" w:cs="Arial" w:eastAsia="Arial" w:hAnsi="Arial"/>
                <w:sz w:val="18"/>
                <w:szCs w:val="18"/>
              </w:rPr>
              <w:t xml:space="preserve">GOOD</w:t>
            </w:r>
          </w:p>
        </w:tc>
      </w:tr>
      <w:tr>
        <w:tc>
          <w:tcPr>
            <w:tcMar>
              <w:top w:type="dxa" w:w="40"/>
              <w:left w:type="dxa" w:w="80"/>
              <w:bottom w:type="dxa" w:w="40"/>
              <w:right w:type="dxa" w:w="80"/>
            </w:tcMar>
          </w:tcPr>
          <w:p>
            <w:r>
              <w:rPr>
                <w:rFonts w:ascii="Arial" w:cs="Arial" w:eastAsia="Arial" w:hAnsi="Arial"/>
                <w:sz w:val="18"/>
                <w:szCs w:val="18"/>
              </w:rPr>
              <w:t xml:space="preserve">LTV on pledged securities / fund units (term sheet)</w:t>
            </w:r>
          </w:p>
        </w:tc>
        <w:tc>
          <w:tcPr>
            <w:tcMar>
              <w:top w:type="dxa" w:w="40"/>
              <w:left w:type="dxa" w:w="80"/>
              <w:bottom w:type="dxa" w:w="40"/>
              <w:right w:type="dxa" w:w="80"/>
            </w:tcMar>
          </w:tcPr>
          <w:p>
            <w:pPr>
              <w:jc w:val="right"/>
            </w:pPr>
            <w:r>
              <w:rPr>
                <w:rFonts w:ascii="Arial" w:cs="Arial" w:eastAsia="Arial" w:hAnsi="Arial"/>
                <w:sz w:val="18"/>
                <w:szCs w:val="18"/>
              </w:rPr>
              <w:t xml:space="preserve">70%</w:t>
            </w:r>
          </w:p>
        </w:tc>
        <w:tc>
          <w:tcPr>
            <w:tcMar>
              <w:top w:type="dxa" w:w="40"/>
              <w:left w:type="dxa" w:w="80"/>
              <w:bottom w:type="dxa" w:w="40"/>
              <w:right w:type="dxa" w:w="80"/>
            </w:tcMar>
          </w:tcPr>
          <w:p>
            <w:r>
              <w:rPr>
                <w:rFonts w:ascii="Arial" w:cs="Arial" w:eastAsia="Arial" w:hAnsi="Arial"/>
                <w:sz w:val="18"/>
                <w:szCs w:val="18"/>
              </w:rPr>
              <w:t xml:space="preserve">ACCEPTABLE</w:t>
            </w:r>
          </w:p>
        </w:tc>
      </w:tr>
      <w:tr>
        <w:tc>
          <w:tcPr>
            <w:tcMar>
              <w:top w:type="dxa" w:w="40"/>
              <w:left w:type="dxa" w:w="80"/>
              <w:bottom w:type="dxa" w:w="40"/>
              <w:right w:type="dxa" w:w="80"/>
            </w:tcMar>
          </w:tcPr>
          <w:p>
            <w:r>
              <w:rPr>
                <w:rFonts w:ascii="Arial" w:cs="Arial" w:eastAsia="Arial" w:hAnsi="Arial"/>
                <w:sz w:val="18"/>
                <w:szCs w:val="18"/>
              </w:rPr>
              <w:t xml:space="preserve">Security coverage (collateral / exposure) (term sheet)</w:t>
            </w:r>
          </w:p>
        </w:tc>
        <w:tc>
          <w:tcPr>
            <w:tcMar>
              <w:top w:type="dxa" w:w="40"/>
              <w:left w:type="dxa" w:w="80"/>
              <w:bottom w:type="dxa" w:w="40"/>
              <w:right w:type="dxa" w:w="80"/>
            </w:tcMar>
          </w:tcPr>
          <w:p>
            <w:pPr>
              <w:jc w:val="right"/>
            </w:pPr>
            <w:r>
              <w:rPr>
                <w:rFonts w:ascii="Arial" w:cs="Arial" w:eastAsia="Arial" w:hAnsi="Arial"/>
                <w:sz w:val="18"/>
                <w:szCs w:val="18"/>
              </w:rPr>
              <w:t xml:space="preserve">117%</w:t>
            </w:r>
          </w:p>
        </w:tc>
        <w:tc>
          <w:tcPr>
            <w:tcMar>
              <w:top w:type="dxa" w:w="40"/>
              <w:left w:type="dxa" w:w="80"/>
              <w:bottom w:type="dxa" w:w="40"/>
              <w:right w:type="dxa" w:w="80"/>
            </w:tcMar>
          </w:tcPr>
          <w:p>
            <w:r>
              <w:rPr>
                <w:rFonts w:ascii="Arial" w:cs="Arial" w:eastAsia="Arial" w:hAnsi="Arial"/>
                <w:sz w:val="18"/>
                <w:szCs w:val="18"/>
              </w:rPr>
              <w:t xml:space="preserve">WEAK</w:t>
            </w:r>
          </w:p>
        </w:tc>
      </w:tr>
    </w:tbl>
    <w:p>
      <w:pPr>
        <w:spacing w:after="80"/>
      </w:pPr>
      <w:r>
        <w:rPr>
          <w:rFonts w:ascii="Arial" w:cs="Arial" w:eastAsia="Arial" w:hAnsi="Arial"/>
          <w:sz w:val="20"/>
          <w:szCs w:val="20"/>
        </w:rPr>
        <w:t xml:space="preserve"/>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FY2025 revenue increased to QAR 1,866,204K from QAR 1,683,946K in FY2024, while gross profit increased to QAR 502,853K and net profit to QAR 102,343K (Source: SIIL FS March English 2025.pdf, p.4). The analyst reports FY2025 revenue growth of 10.8%, net margin of 5.5% and current ratio of 1.60x (Source: application form). The latest 6M 2026 results show revenue of QAR 866,754K, gross profit of QAR 251,812K and net profit of QAR 53,825K (Source: SIIL FS March English 2025.pdf, p.4).</w:t>
      </w:r>
    </w:p>
    <w:p>
      <w:pPr>
        <w:spacing w:after="120"/>
        <w:jc w:val="both"/>
      </w:pPr>
      <w:r>
        <w:rPr>
          <w:rFonts w:ascii="Arial" w:cs="Arial" w:eastAsia="Arial" w:hAnsi="Arial"/>
          <w:sz w:val="20"/>
          <w:szCs w:val="20"/>
        </w:rPr>
        <w:t xml:space="preserve">At 30 June 2026, total assets were QAR 4,474,136K, current assets QAR 1,327,334K and cash and bank balances QAR 99,768K. Total liabilities were QAR 2,714,510K, current liabilities QAR 768,266K and total debt QAR 2,188,434K (Source: SIIL FS Q1-2026 English.pdf, pp.3–4). Net worth was QAR 1,759,626K and tangible net worth QAR 1,697,036K (Source: SIIL FS Q1-2026 English.pdf, pp.3–4).</w:t>
      </w:r>
    </w:p>
    <w:p>
      <w:pPr>
        <w:spacing w:after="120"/>
        <w:jc w:val="both"/>
      </w:pPr>
      <w:r>
        <w:rPr>
          <w:rFonts w:ascii="Arial" w:cs="Arial" w:eastAsia="Arial" w:hAnsi="Arial"/>
          <w:sz w:val="20"/>
          <w:szCs w:val="20"/>
        </w:rPr>
        <w:t xml:space="preserve">Related-party balances remained material, with QAR 304,084K reported at 6M 2026 (Source: SIIL FS Q1-2026 English.pdf, p.3). FY2025 also included gross overdue exposures exceeding 730 days of QAR 480,191K, with a loss allowance of QAR 204,365K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p.81). The analyst reports DSCR of 0.40x, interest cover of 2.37x and leverage of 1.70x (Source: application form).</w:t>
      </w:r>
    </w:p>
    <w:p>
      <w:pPr>
        <w:pStyle w:val="Heading1"/>
        <w:spacing w:after="120" w:before="240"/>
      </w:pPr>
      <w:r>
        <w:rPr>
          <w:rFonts w:ascii="Arial" w:cs="Arial" w:eastAsia="Arial" w:hAnsi="Arial"/>
          <w:b/>
          <w:bCs/>
          <w:color w:val="1F3864"/>
          <w:sz w:val="26"/>
          <w:szCs w:val="26"/>
        </w:rPr>
        <w:t xml:space="preserve">VI. Account Conduct &amp; Profitability</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No bank statements have been uploaded; therefore, account turnover, conduct, excesses, returned items, utilisation patterns and historical repayment performance cannot be assessed. [Analyst to confirm: statements for the relevant operating and borrowing accounts, account conduct commentary and any existing banking relationships.]</w:t>
      </w:r>
    </w:p>
    <w:p>
      <w:pPr>
        <w:spacing w:after="120"/>
        <w:jc w:val="both"/>
      </w:pPr>
      <w:r>
        <w:rPr>
          <w:rFonts w:ascii="Arial" w:cs="Arial" w:eastAsia="Arial" w:hAnsi="Arial"/>
          <w:sz w:val="20"/>
          <w:szCs w:val="20"/>
        </w:rPr>
        <w:t xml:space="preserve">The request is stated to be for a new account to be opened, and no existing Ahlibank account conduct is available (Source: application form). Profitability based on the latest audited financial statements was positive: FY2025 revenue was QAR 1,866,204 thousand and net profit was QAR 102,343 thousand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p.10). The application indicates a FY2025 net margin of 5.5%, revenue growth of 10.8% and interest coverage of 2.37x (Source: application form). However, the indicated FY2025 DSCR of 0.40x is weak, consistent with operating cash flow of QAR 194,653 thousand versus reported debt service of QAR 676,999 thousand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p.35).</w:t>
      </w:r>
    </w:p>
    <w:p>
      <w:pPr>
        <w:pStyle w:val="Heading1"/>
        <w:spacing w:after="120" w:before="240"/>
      </w:pPr>
      <w:r>
        <w:rPr>
          <w:rFonts w:ascii="Arial" w:cs="Arial" w:eastAsia="Arial" w:hAnsi="Arial"/>
          <w:b/>
          <w:bCs/>
          <w:color w:val="1F3864"/>
          <w:sz w:val="26"/>
          <w:szCs w:val="26"/>
        </w:rPr>
        <w:t xml:space="preserve">VII. QCB and Credit Bureau Reports</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No QCB report or credit bureau report has been uploaded. Accordingly, the borrower’s external indebtedness, payment history, adverse information, returned payments, legal status and contingent banking exposure cannot be independently verified. [Analyst to confirm: QCB approval for the proposed FX lending, QCB report findings, Credit Bureau report findings and any existing or proposed bank facilities.]</w:t>
      </w:r>
    </w:p>
    <w:p>
      <w:pPr>
        <w:spacing w:after="120"/>
        <w:jc w:val="both"/>
      </w:pPr>
      <w:r>
        <w:rPr>
          <w:rFonts w:ascii="Arial" w:cs="Arial" w:eastAsia="Arial" w:hAnsi="Arial"/>
          <w:sz w:val="20"/>
          <w:szCs w:val="20"/>
        </w:rPr>
        <w:t xml:space="preserve">The financial statements disclose material borrowings and contingent obligations. At 30 June 2026, borrowings were QAR 2,134,092 thousand and bank overdrafts were QAR 54,343 thousand (Source: SIIL -HY 2026-English Signed.pdf, p.4). Letters of guarantee of QAR 290,515 thousand and letters of credit of QAR 60,797 thousand were outstanding at that date (Source: SIIL -HY 2026-English Signed.pdf, p.23). These amounts should be reconciled to the QCB and Credit Bureau outputs before finalising the exposure assessment.</w:t>
      </w:r>
    </w:p>
    <w:p>
      <w:pPr>
        <w:pStyle w:val="Heading1"/>
        <w:spacing w:after="120" w:before="240"/>
      </w:pPr>
      <w:r>
        <w:rPr>
          <w:rFonts w:ascii="Arial" w:cs="Arial" w:eastAsia="Arial" w:hAnsi="Arial"/>
          <w:b/>
          <w:bCs/>
          <w:color w:val="1F3864"/>
          <w:sz w:val="26"/>
          <w:szCs w:val="26"/>
        </w:rPr>
        <w:t xml:space="preserve">VIII. Sources of Repayment</w:t>
      </w:r>
    </w:p>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b/>
          <w:bCs/>
          <w:sz w:val="20"/>
          <w:szCs w:val="20"/>
        </w:rPr>
        <w:t xml:space="preserve">Primary source:</w:t>
      </w:r>
      <w:r>
        <w:rPr>
          <w:rFonts w:ascii="Arial" w:cs="Arial" w:eastAsia="Arial" w:hAnsi="Arial"/>
          <w:sz w:val="20"/>
          <w:szCs w:val="20"/>
        </w:rPr>
        <w:t xml:space="preserve"> Cash flow generated from the borrower’s operating activities and business operations. FY2025 operating cash flow was QAR 194,653 thousand, against reported debt service of QAR 676,999 thousand, indicating that internally generated cash flow alone would not cover the reported debt-service burden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pp.12, 35). Repayment capacity should therefore be supported by a documented cash-flow forecast, identified cash flows for the office revamp and evidence of sufficient liquidity.</w:t>
      </w:r>
    </w:p>
    <w:p>
      <w:pPr>
        <w:pStyle w:val="ListParagraph"/>
        <w:numPr>
          <w:ilvl w:val="0"/>
          <w:numId w:val="1"/>
        </w:numPr>
        <w:spacing w:after="60"/>
      </w:pPr>
      <w:r>
        <w:rPr>
          <w:rFonts w:ascii="Arial" w:cs="Arial" w:eastAsia="Arial" w:hAnsi="Arial"/>
          <w:b/>
          <w:bCs/>
          <w:sz w:val="20"/>
          <w:szCs w:val="20"/>
        </w:rPr>
        <w:t xml:space="preserve">Secondary source:</w:t>
      </w:r>
      <w:r>
        <w:rPr>
          <w:rFonts w:ascii="Arial" w:cs="Arial" w:eastAsia="Arial" w:hAnsi="Arial"/>
          <w:sz w:val="20"/>
          <w:szCs w:val="20"/>
        </w:rPr>
        <w:t xml:space="preserve"> Enforcement or realisation of the proposed collateral, subject to completion of legal, ownership, valuation, liquidity and enforceability checks. The term sheet states an LTV cap of 70%, a top-up trigger of 75%, a liquidation trigger of 85% and security coverage of 117% (Source: application form). Collateral documentation has not been uploaded. [Analyst to confirm: collateral type, ownership, valuation, custody/control, existing encumbrances and enforceability.] </w:t>
      </w:r>
    </w:p>
    <w:p>
      <w:pPr>
        <w:pStyle w:val="ListParagraph"/>
        <w:numPr>
          <w:ilvl w:val="0"/>
          <w:numId w:val="1"/>
        </w:numPr>
        <w:spacing w:after="60"/>
      </w:pPr>
      <w:r>
        <w:rPr>
          <w:rFonts w:ascii="Arial" w:cs="Arial" w:eastAsia="Arial" w:hAnsi="Arial"/>
          <w:b/>
          <w:bCs/>
          <w:sz w:val="20"/>
          <w:szCs w:val="20"/>
        </w:rPr>
        <w:t xml:space="preserve">Pari passu:</w:t>
      </w:r>
      <w:r>
        <w:rPr>
          <w:rFonts w:ascii="Arial" w:cs="Arial" w:eastAsia="Arial" w:hAnsi="Arial"/>
          <w:sz w:val="20"/>
          <w:szCs w:val="20"/>
        </w:rPr>
        <w:t xml:space="preserve"> The proposed ranking and sharing arrangements with other lenders have not been provided. [Analyst to confirm: whether the facility will rank pari passu with existing secured or unsecured obligations and whether any negative pledge or intercreditor arrangements apply.]</w:t>
      </w:r>
    </w:p>
    <w:p>
      <w:pPr>
        <w:pStyle w:val="Heading1"/>
        <w:spacing w:after="120" w:before="240"/>
      </w:pPr>
      <w:r>
        <w:rPr>
          <w:rFonts w:ascii="Arial" w:cs="Arial" w:eastAsia="Arial" w:hAnsi="Arial"/>
          <w:b/>
          <w:bCs/>
          <w:color w:val="1F3864"/>
          <w:sz w:val="26"/>
          <w:szCs w:val="26"/>
        </w:rPr>
        <w:t xml:space="preserve">IX. Risk Rating</w:t>
      </w:r>
    </w:p>
    <w:p>
      <w:pPr>
        <w:spacing w:after="120"/>
      </w:pPr>
      <w:r>
        <w:rPr>
          <w:rFonts w:ascii="Arial" w:cs="Arial" w:eastAsia="Arial" w:hAnsi="Arial"/>
          <w:b/>
          <w:bCs/>
          <w:sz w:val="20"/>
          <w:szCs w:val="20"/>
        </w:rPr>
        <w:t xml:space="preserve">Proposed rating: R06 · Risk Management: R06</w:t>
      </w:r>
    </w:p>
    <w:p>
      <w:pPr>
        <w:spacing w:after="120"/>
        <w:jc w:val="both"/>
      </w:pPr>
      <w:r>
        <w:rPr>
          <w:rFonts w:ascii="Arial" w:cs="Arial" w:eastAsia="Arial" w:hAnsi="Arial"/>
          <w:sz w:val="20"/>
          <w:szCs w:val="20"/>
        </w:rPr>
        <w:t xml:space="preserve">because i said so</w:t>
      </w:r>
    </w:p>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b/>
          <w:bCs/>
          <w:sz w:val="20"/>
          <w:szCs w:val="20"/>
        </w:rPr>
        <w:t xml:space="preserve">Proposed rating: R06</w:t>
      </w:r>
      <w:r>
        <w:rPr>
          <w:rFonts w:ascii="Arial" w:cs="Arial" w:eastAsia="Arial" w:hAnsi="Arial"/>
          <w:sz w:val="20"/>
          <w:szCs w:val="20"/>
        </w:rPr>
        <w:t xml:space="preserve">, as stated in the application (Source: application form).</w:t>
      </w:r>
    </w:p>
    <w:p>
      <w:pPr>
        <w:pStyle w:val="ListParagraph"/>
        <w:numPr>
          <w:ilvl w:val="0"/>
          <w:numId w:val="1"/>
        </w:numPr>
        <w:spacing w:after="60"/>
      </w:pPr>
      <w:r>
        <w:rPr>
          <w:rFonts w:ascii="Arial" w:cs="Arial" w:eastAsia="Arial" w:hAnsi="Arial"/>
          <w:sz w:val="20"/>
          <w:szCs w:val="20"/>
        </w:rPr>
        <w:t xml:space="preserve">The rating is supported by the borrower’s established scale, FY2025 revenue growth of 10.8%, positive profitability, interest coverage of 2.37x and leverage of 1.70x on the application’s threshold assessment (Source: application form).</w:t>
      </w:r>
    </w:p>
    <w:p>
      <w:pPr>
        <w:pStyle w:val="ListParagraph"/>
        <w:numPr>
          <w:ilvl w:val="0"/>
          <w:numId w:val="1"/>
        </w:numPr>
        <w:spacing w:after="60"/>
      </w:pPr>
      <w:r>
        <w:rPr>
          <w:rFonts w:ascii="Arial" w:cs="Arial" w:eastAsia="Arial" w:hAnsi="Arial"/>
          <w:sz w:val="20"/>
          <w:szCs w:val="20"/>
        </w:rPr>
        <w:t xml:space="preserve">The rating is constrained by weak debt-service capacity: the application indicates FY2025 DSCR of 0.40x, while audited FY2025 operating cash flow of QAR 194,653 thousand covered reported debt service of QAR 676,999 thousand (Source: application form; SIIL Console FS 2025</w:t>
      </w:r>
      <w:r>
        <w:rPr>
          <w:rFonts w:ascii="Arial" w:cs="Arial" w:eastAsia="Arial" w:hAnsi="Arial"/>
          <w:i/>
          <w:iCs/>
          <w:sz w:val="20"/>
          <w:szCs w:val="20"/>
        </w:rPr>
        <w:t xml:space="preserve">EN</w:t>
      </w:r>
      <w:r>
        <w:rPr>
          <w:rFonts w:ascii="Arial" w:cs="Arial" w:eastAsia="Arial" w:hAnsi="Arial"/>
          <w:sz w:val="20"/>
          <w:szCs w:val="20"/>
        </w:rPr>
        <w:t xml:space="preserve">Signed.pdf, p.35).</w:t>
      </w:r>
    </w:p>
    <w:p>
      <w:pPr>
        <w:pStyle w:val="ListParagraph"/>
        <w:numPr>
          <w:ilvl w:val="0"/>
          <w:numId w:val="1"/>
        </w:numPr>
        <w:spacing w:after="60"/>
      </w:pPr>
      <w:r>
        <w:rPr>
          <w:rFonts w:ascii="Arial" w:cs="Arial" w:eastAsia="Arial" w:hAnsi="Arial"/>
          <w:sz w:val="20"/>
          <w:szCs w:val="20"/>
        </w:rPr>
        <w:t xml:space="preserve">Total debt was QAR 2,269,365 thousand at FY2025, with reported net debt-to-equity of 116%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pp.4, 35).</w:t>
      </w:r>
    </w:p>
    <w:p>
      <w:pPr>
        <w:pStyle w:val="ListParagraph"/>
        <w:numPr>
          <w:ilvl w:val="0"/>
          <w:numId w:val="1"/>
        </w:numPr>
        <w:spacing w:after="60"/>
      </w:pPr>
      <w:r>
        <w:rPr>
          <w:rFonts w:ascii="Arial" w:cs="Arial" w:eastAsia="Arial" w:hAnsi="Arial"/>
          <w:sz w:val="20"/>
          <w:szCs w:val="20"/>
        </w:rPr>
        <w:t xml:space="preserve">Further constraints are material related-party receivables, credit-impaired overdue receivables, encumbered investment properties and reliance on interim information that is reviewed rather than audited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pp.60, 66, 81; SIIL -HY 2026-English Signed.pdf, pp.1, 16, 19).</w:t>
      </w:r>
    </w:p>
    <w:p>
      <w:pPr>
        <w:pStyle w:val="Heading1"/>
        <w:spacing w:after="120" w:before="240"/>
      </w:pPr>
      <w:r>
        <w:rPr>
          <w:rFonts w:ascii="Arial" w:cs="Arial" w:eastAsia="Arial" w:hAnsi="Arial"/>
          <w:b/>
          <w:bCs/>
          <w:color w:val="1F3864"/>
          <w:sz w:val="26"/>
          <w:szCs w:val="26"/>
        </w:rPr>
        <w:t xml:space="preserve">X. Risks &amp; Mitigants</w:t>
      </w:r>
    </w:p>
    <w:p>
      <w:pPr>
        <w:spacing w:after="120"/>
      </w:pPr>
      <w:r>
        <w:rPr>
          <w:rFonts w:ascii="Arial" w:cs="Arial" w:eastAsia="Arial" w:hAnsi="Arial"/>
          <w:i/>
          <w:iCs/>
          <w:color w:val="C00000"/>
          <w:sz w:val="16"/>
          <w:szCs w:val="16"/>
        </w:rPr>
        <w:t xml:space="preserve">[AI-generated draft — pending analyst approval]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Risk</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Description</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Mitigant</w:t>
            </w:r>
          </w:p>
        </w:tc>
      </w:tr>
      <w:tr>
        <w:tc>
          <w:tcPr>
            <w:tcMar>
              <w:top w:type="dxa" w:w="40"/>
              <w:left w:type="dxa" w:w="80"/>
              <w:bottom w:type="dxa" w:w="40"/>
              <w:right w:type="dxa" w:w="80"/>
            </w:tcMar>
          </w:tcPr>
          <w:p>
            <w:r>
              <w:rPr>
                <w:rFonts w:ascii="Arial" w:cs="Arial" w:eastAsia="Arial" w:hAnsi="Arial"/>
                <w:sz w:val="18"/>
                <w:szCs w:val="18"/>
              </w:rPr>
              <w:t xml:space="preserve">Lower fund returns</w:t>
            </w:r>
          </w:p>
        </w:tc>
        <w:tc>
          <w:tcPr>
            <w:tcMar>
              <w:top w:type="dxa" w:w="40"/>
              <w:left w:type="dxa" w:w="80"/>
              <w:bottom w:type="dxa" w:w="40"/>
              <w:right w:type="dxa" w:w="80"/>
            </w:tcMar>
          </w:tcPr>
          <w:p>
            <w:r>
              <w:rPr>
                <w:rFonts w:ascii="Arial" w:cs="Arial" w:eastAsia="Arial" w:hAnsi="Arial"/>
                <w:sz w:val="18"/>
                <w:szCs w:val="18"/>
              </w:rPr>
              <w:t xml:space="preserve">The proposed repayment case may depend partly on the performance or liquidity of pledged securities/fund units; returns and market values may decline.</w:t>
            </w:r>
          </w:p>
        </w:tc>
        <w:tc>
          <w:tcPr>
            <w:tcMar>
              <w:top w:type="dxa" w:w="40"/>
              <w:left w:type="dxa" w:w="80"/>
              <w:bottom w:type="dxa" w:w="40"/>
              <w:right w:type="dxa" w:w="80"/>
            </w:tcMar>
          </w:tcPr>
          <w:p>
            <w:r>
              <w:rPr>
                <w:rFonts w:ascii="Arial" w:cs="Arial" w:eastAsia="Arial" w:hAnsi="Arial"/>
                <w:sz w:val="18"/>
                <w:szCs w:val="18"/>
              </w:rPr>
              <w:t xml:space="preserve">Maintain the 70% LTV cap, 75% top-up trigger and 85% liquidation trigger; obtain independent valuation and monitoring.</w:t>
            </w:r>
          </w:p>
        </w:tc>
      </w:tr>
      <w:tr>
        <w:tc>
          <w:tcPr>
            <w:tcMar>
              <w:top w:type="dxa" w:w="40"/>
              <w:left w:type="dxa" w:w="80"/>
              <w:bottom w:type="dxa" w:w="40"/>
              <w:right w:type="dxa" w:w="80"/>
            </w:tcMar>
          </w:tcPr>
          <w:p>
            <w:r>
              <w:rPr>
                <w:rFonts w:ascii="Arial" w:cs="Arial" w:eastAsia="Arial" w:hAnsi="Arial"/>
                <w:sz w:val="18"/>
                <w:szCs w:val="18"/>
              </w:rPr>
              <w:t xml:space="preserve">Security risk</w:t>
            </w:r>
          </w:p>
        </w:tc>
        <w:tc>
          <w:tcPr>
            <w:tcMar>
              <w:top w:type="dxa" w:w="40"/>
              <w:left w:type="dxa" w:w="80"/>
              <w:bottom w:type="dxa" w:w="40"/>
              <w:right w:type="dxa" w:w="80"/>
            </w:tcMar>
          </w:tcPr>
          <w:p>
            <w:r>
              <w:rPr>
                <w:rFonts w:ascii="Arial" w:cs="Arial" w:eastAsia="Arial" w:hAnsi="Arial"/>
                <w:sz w:val="18"/>
                <w:szCs w:val="18"/>
              </w:rPr>
              <w:t xml:space="preserve">Proposed security coverage is stated at 117%, but collateral documentation has not been uploaded and the collateral type, ownership, ranking and enforceability remain unverified (Source: application form).</w:t>
            </w:r>
          </w:p>
        </w:tc>
        <w:tc>
          <w:tcPr>
            <w:tcMar>
              <w:top w:type="dxa" w:w="40"/>
              <w:left w:type="dxa" w:w="80"/>
              <w:bottom w:type="dxa" w:w="40"/>
              <w:right w:type="dxa" w:w="80"/>
            </w:tcMar>
          </w:tcPr>
          <w:p>
            <w:r>
              <w:rPr>
                <w:rFonts w:ascii="Arial" w:cs="Arial" w:eastAsia="Arial" w:hAnsi="Arial"/>
                <w:sz w:val="18"/>
                <w:szCs w:val="18"/>
              </w:rPr>
              <w:t xml:space="preserve">Obtain perfected security, legal opinions, evidence of ownership and control, independent valuation and confirmation of no prior encumbrance before utilisation.</w:t>
            </w:r>
          </w:p>
        </w:tc>
      </w:tr>
      <w:tr>
        <w:tc>
          <w:tcPr>
            <w:tcMar>
              <w:top w:type="dxa" w:w="40"/>
              <w:left w:type="dxa" w:w="80"/>
              <w:bottom w:type="dxa" w:w="40"/>
              <w:right w:type="dxa" w:w="80"/>
            </w:tcMar>
          </w:tcPr>
          <w:p>
            <w:r>
              <w:rPr>
                <w:rFonts w:ascii="Arial" w:cs="Arial" w:eastAsia="Arial" w:hAnsi="Arial"/>
                <w:sz w:val="18"/>
                <w:szCs w:val="18"/>
              </w:rPr>
              <w:t xml:space="preserve">Interest rate risk</w:t>
            </w:r>
          </w:p>
        </w:tc>
        <w:tc>
          <w:tcPr>
            <w:tcMar>
              <w:top w:type="dxa" w:w="40"/>
              <w:left w:type="dxa" w:w="80"/>
              <w:bottom w:type="dxa" w:w="40"/>
              <w:right w:type="dxa" w:w="80"/>
            </w:tcMar>
          </w:tcPr>
          <w:p>
            <w:r>
              <w:rPr>
                <w:rFonts w:ascii="Arial" w:cs="Arial" w:eastAsia="Arial" w:hAnsi="Arial"/>
                <w:sz w:val="18"/>
                <w:szCs w:val="18"/>
              </w:rPr>
              <w:t xml:space="preserve">Pricing is 3M SOFR plus 4.00%; higher benchmark rates would increase debt service (Source: application form).</w:t>
            </w:r>
          </w:p>
        </w:tc>
        <w:tc>
          <w:tcPr>
            <w:tcMar>
              <w:top w:type="dxa" w:w="40"/>
              <w:left w:type="dxa" w:w="80"/>
              <w:bottom w:type="dxa" w:w="40"/>
              <w:right w:type="dxa" w:w="80"/>
            </w:tcMar>
          </w:tcPr>
          <w:p>
            <w:r>
              <w:rPr>
                <w:rFonts w:ascii="Arial" w:cs="Arial" w:eastAsia="Arial" w:hAnsi="Arial"/>
                <w:sz w:val="18"/>
                <w:szCs w:val="18"/>
              </w:rPr>
              <w:t xml:space="preserve">Obtain a sensitivity analysis, monitor interest coverage and require evidence that projected cash flow services floating-rate debt.</w:t>
            </w:r>
          </w:p>
        </w:tc>
      </w:tr>
      <w:tr>
        <w:tc>
          <w:tcPr>
            <w:tcMar>
              <w:top w:type="dxa" w:w="40"/>
              <w:left w:type="dxa" w:w="80"/>
              <w:bottom w:type="dxa" w:w="40"/>
              <w:right w:type="dxa" w:w="80"/>
            </w:tcMar>
          </w:tcPr>
          <w:p>
            <w:r>
              <w:rPr>
                <w:rFonts w:ascii="Arial" w:cs="Arial" w:eastAsia="Arial" w:hAnsi="Arial"/>
                <w:sz w:val="18"/>
                <w:szCs w:val="18"/>
              </w:rPr>
              <w:t xml:space="preserve">Repayment risk</w:t>
            </w:r>
          </w:p>
        </w:tc>
        <w:tc>
          <w:tcPr>
            <w:tcMar>
              <w:top w:type="dxa" w:w="40"/>
              <w:left w:type="dxa" w:w="80"/>
              <w:bottom w:type="dxa" w:w="40"/>
              <w:right w:type="dxa" w:w="80"/>
            </w:tcMar>
          </w:tcPr>
          <w:p>
            <w:r>
              <w:rPr>
                <w:rFonts w:ascii="Arial" w:cs="Arial" w:eastAsia="Arial" w:hAnsi="Arial"/>
                <w:sz w:val="18"/>
                <w:szCs w:val="18"/>
              </w:rPr>
              <w:t xml:space="preserve">FY2025 DSCR is indicated at 0.40x, and operating cash flow of QAR 194,653 thousand was below reported debt service of QAR 676,999 thousand (Source: application form; SIIL Console FS 2025</w:t>
            </w:r>
            <w:r>
              <w:rPr>
                <w:rFonts w:ascii="Arial" w:cs="Arial" w:eastAsia="Arial" w:hAnsi="Arial"/>
                <w:i/>
                <w:iCs/>
                <w:sz w:val="18"/>
                <w:szCs w:val="18"/>
              </w:rPr>
              <w:t xml:space="preserve">EN</w:t>
            </w:r>
            <w:r>
              <w:rPr>
                <w:rFonts w:ascii="Arial" w:cs="Arial" w:eastAsia="Arial" w:hAnsi="Arial"/>
                <w:sz w:val="18"/>
                <w:szCs w:val="18"/>
              </w:rPr>
              <w:t xml:space="preserve">Signed.pdf, p.35).</w:t>
            </w:r>
          </w:p>
        </w:tc>
        <w:tc>
          <w:tcPr>
            <w:tcMar>
              <w:top w:type="dxa" w:w="40"/>
              <w:left w:type="dxa" w:w="80"/>
              <w:bottom w:type="dxa" w:w="40"/>
              <w:right w:type="dxa" w:w="80"/>
            </w:tcMar>
          </w:tcPr>
          <w:p>
            <w:r>
              <w:rPr>
                <w:rFonts w:ascii="Arial" w:cs="Arial" w:eastAsia="Arial" w:hAnsi="Arial"/>
                <w:sz w:val="18"/>
                <w:szCs w:val="18"/>
              </w:rPr>
              <w:t xml:space="preserve">Require a credible repayment schedule, periodic cash-flow monitoring and no drawdown until the source and timing of repayment are evidenced.</w:t>
            </w:r>
          </w:p>
        </w:tc>
      </w:tr>
      <w:tr>
        <w:tc>
          <w:tcPr>
            <w:tcMar>
              <w:top w:type="dxa" w:w="40"/>
              <w:left w:type="dxa" w:w="80"/>
              <w:bottom w:type="dxa" w:w="40"/>
              <w:right w:type="dxa" w:w="80"/>
            </w:tcMar>
          </w:tcPr>
          <w:p>
            <w:r>
              <w:rPr>
                <w:rFonts w:ascii="Arial" w:cs="Arial" w:eastAsia="Arial" w:hAnsi="Arial"/>
                <w:sz w:val="18"/>
                <w:szCs w:val="18"/>
              </w:rPr>
              <w:t xml:space="preserve">Cash flow &amp; liquidity mismatch</w:t>
            </w:r>
          </w:p>
        </w:tc>
        <w:tc>
          <w:tcPr>
            <w:tcMar>
              <w:top w:type="dxa" w:w="40"/>
              <w:left w:type="dxa" w:w="80"/>
              <w:bottom w:type="dxa" w:w="40"/>
              <w:right w:type="dxa" w:w="80"/>
            </w:tcMar>
          </w:tcPr>
          <w:p>
            <w:r>
              <w:rPr>
                <w:rFonts w:ascii="Arial" w:cs="Arial" w:eastAsia="Arial" w:hAnsi="Arial"/>
                <w:sz w:val="18"/>
                <w:szCs w:val="18"/>
              </w:rPr>
              <w:t xml:space="preserve">The proposed tenor is 25 years with two years’ availability, while the borrower has significant debt and current obligations (Source: application form; SIIL FS Q1-2026 English.pdf, p.4).</w:t>
            </w:r>
          </w:p>
        </w:tc>
        <w:tc>
          <w:tcPr>
            <w:tcMar>
              <w:top w:type="dxa" w:w="40"/>
              <w:left w:type="dxa" w:w="80"/>
              <w:bottom w:type="dxa" w:w="40"/>
              <w:right w:type="dxa" w:w="80"/>
            </w:tcMar>
          </w:tcPr>
          <w:p>
            <w:r>
              <w:rPr>
                <w:rFonts w:ascii="Arial" w:cs="Arial" w:eastAsia="Arial" w:hAnsi="Arial"/>
                <w:sz w:val="18"/>
                <w:szCs w:val="18"/>
              </w:rPr>
              <w:t xml:space="preserve">Obtain a full maturity profile and liquidity forecast; monitor current liabilities, refinancing needs and covenant compliance.</w:t>
            </w:r>
          </w:p>
        </w:tc>
      </w:tr>
      <w:tr>
        <w:tc>
          <w:tcPr>
            <w:tcMar>
              <w:top w:type="dxa" w:w="40"/>
              <w:left w:type="dxa" w:w="80"/>
              <w:bottom w:type="dxa" w:w="40"/>
              <w:right w:type="dxa" w:w="80"/>
            </w:tcMar>
          </w:tcPr>
          <w:p>
            <w:r>
              <w:rPr>
                <w:rFonts w:ascii="Arial" w:cs="Arial" w:eastAsia="Arial" w:hAnsi="Arial"/>
                <w:sz w:val="18"/>
                <w:szCs w:val="18"/>
              </w:rPr>
              <w:t xml:space="preserve">Capital call default</w:t>
            </w:r>
          </w:p>
        </w:tc>
        <w:tc>
          <w:tcPr>
            <w:tcMar>
              <w:top w:type="dxa" w:w="40"/>
              <w:left w:type="dxa" w:w="80"/>
              <w:bottom w:type="dxa" w:w="40"/>
              <w:right w:type="dxa" w:w="80"/>
            </w:tcMar>
          </w:tcPr>
          <w:p>
            <w:r>
              <w:rPr>
                <w:rFonts w:ascii="Arial" w:cs="Arial" w:eastAsia="Arial" w:hAnsi="Arial"/>
                <w:sz w:val="18"/>
                <w:szCs w:val="18"/>
              </w:rPr>
              <w:t xml:space="preserve">No capital-call obligation or fund structure details have been provided.</w:t>
            </w:r>
          </w:p>
        </w:tc>
        <w:tc>
          <w:tcPr>
            <w:tcMar>
              <w:top w:type="dxa" w:w="40"/>
              <w:left w:type="dxa" w:w="80"/>
              <w:bottom w:type="dxa" w:w="40"/>
              <w:right w:type="dxa" w:w="80"/>
            </w:tcMar>
          </w:tcPr>
          <w:p>
            <w:r>
              <w:rPr>
                <w:rFonts w:ascii="Arial" w:cs="Arial" w:eastAsia="Arial" w:hAnsi="Arial"/>
                <w:sz w:val="18"/>
                <w:szCs w:val="18"/>
              </w:rPr>
              <w:t xml:space="preserve">[Analyst to confirm: whether capital calls apply.] If applicable, obtain an irrevocable funding plan and assess liquidity under stressed calls.</w:t>
            </w:r>
          </w:p>
        </w:tc>
      </w:tr>
      <w:tr>
        <w:tc>
          <w:tcPr>
            <w:tcMar>
              <w:top w:type="dxa" w:w="40"/>
              <w:left w:type="dxa" w:w="80"/>
              <w:bottom w:type="dxa" w:w="40"/>
              <w:right w:type="dxa" w:w="80"/>
            </w:tcMar>
          </w:tcPr>
          <w:p>
            <w:r>
              <w:rPr>
                <w:rFonts w:ascii="Arial" w:cs="Arial" w:eastAsia="Arial" w:hAnsi="Arial"/>
                <w:sz w:val="18"/>
                <w:szCs w:val="18"/>
              </w:rPr>
              <w:t xml:space="preserve">Valuation lag</w:t>
            </w:r>
          </w:p>
        </w:tc>
        <w:tc>
          <w:tcPr>
            <w:tcMar>
              <w:top w:type="dxa" w:w="40"/>
              <w:left w:type="dxa" w:w="80"/>
              <w:bottom w:type="dxa" w:w="40"/>
              <w:right w:type="dxa" w:w="80"/>
            </w:tcMar>
          </w:tcPr>
          <w:p>
            <w:r>
              <w:rPr>
                <w:rFonts w:ascii="Arial" w:cs="Arial" w:eastAsia="Arial" w:hAnsi="Arial"/>
                <w:sz w:val="18"/>
                <w:szCs w:val="18"/>
              </w:rPr>
              <w:t xml:space="preserve">Investment properties are materially concentrated and include Level 2 and Level 3 valuations; certain properties are mortgaged to a local bank (Source: SIIL -HY 2026-English Signed.pdf, pp.16, 24–25).</w:t>
            </w:r>
          </w:p>
        </w:tc>
        <w:tc>
          <w:tcPr>
            <w:tcMar>
              <w:top w:type="dxa" w:w="40"/>
              <w:left w:type="dxa" w:w="80"/>
              <w:bottom w:type="dxa" w:w="40"/>
              <w:right w:type="dxa" w:w="80"/>
            </w:tcMar>
          </w:tcPr>
          <w:p>
            <w:r>
              <w:rPr>
                <w:rFonts w:ascii="Arial" w:cs="Arial" w:eastAsia="Arial" w:hAnsi="Arial"/>
                <w:sz w:val="18"/>
                <w:szCs w:val="18"/>
              </w:rPr>
              <w:t xml:space="preserve">Obtain recent independent valuations, apply agreed haircuts, monitor LTV and require timely top-up on breach.</w:t>
            </w:r>
          </w:p>
        </w:tc>
      </w:tr>
      <w:tr>
        <w:tc>
          <w:tcPr>
            <w:tcMar>
              <w:top w:type="dxa" w:w="40"/>
              <w:left w:type="dxa" w:w="80"/>
              <w:bottom w:type="dxa" w:w="40"/>
              <w:right w:type="dxa" w:w="80"/>
            </w:tcMar>
          </w:tcPr>
          <w:p>
            <w:r>
              <w:rPr>
                <w:rFonts w:ascii="Arial" w:cs="Arial" w:eastAsia="Arial" w:hAnsi="Arial"/>
                <w:sz w:val="18"/>
                <w:szCs w:val="18"/>
              </w:rPr>
              <w:t xml:space="preserve">Related-party and receivables risk</w:t>
            </w:r>
          </w:p>
        </w:tc>
        <w:tc>
          <w:tcPr>
            <w:tcMar>
              <w:top w:type="dxa" w:w="40"/>
              <w:left w:type="dxa" w:w="80"/>
              <w:bottom w:type="dxa" w:w="40"/>
              <w:right w:type="dxa" w:w="80"/>
            </w:tcMar>
          </w:tcPr>
          <w:p>
            <w:r>
              <w:rPr>
                <w:rFonts w:ascii="Arial" w:cs="Arial" w:eastAsia="Arial" w:hAnsi="Arial"/>
                <w:sz w:val="18"/>
                <w:szCs w:val="18"/>
              </w:rPr>
              <w:t xml:space="preserve">Net related-party receivables were QAR 312,733 thousand at FY2025, while gross exposures over 730 days past due were QAR 480,191 thousand with a loss allowance of QAR 204,365 thousand (Source: SIIL Console FS 2025</w:t>
            </w:r>
            <w:r>
              <w:rPr>
                <w:rFonts w:ascii="Arial" w:cs="Arial" w:eastAsia="Arial" w:hAnsi="Arial"/>
                <w:i/>
                <w:iCs/>
                <w:sz w:val="18"/>
                <w:szCs w:val="18"/>
              </w:rPr>
              <w:t xml:space="preserve">EN</w:t>
            </w:r>
            <w:r>
              <w:rPr>
                <w:rFonts w:ascii="Arial" w:cs="Arial" w:eastAsia="Arial" w:hAnsi="Arial"/>
                <w:sz w:val="18"/>
                <w:szCs w:val="18"/>
              </w:rPr>
              <w:t xml:space="preserve">Signed.pdf, pp.60, 81).</w:t>
            </w:r>
          </w:p>
        </w:tc>
        <w:tc>
          <w:tcPr>
            <w:tcMar>
              <w:top w:type="dxa" w:w="40"/>
              <w:left w:type="dxa" w:w="80"/>
              <w:bottom w:type="dxa" w:w="40"/>
              <w:right w:type="dxa" w:w="80"/>
            </w:tcMar>
          </w:tcPr>
          <w:p>
            <w:r>
              <w:rPr>
                <w:rFonts w:ascii="Arial" w:cs="Arial" w:eastAsia="Arial" w:hAnsi="Arial"/>
                <w:sz w:val="18"/>
                <w:szCs w:val="18"/>
              </w:rPr>
              <w:t xml:space="preserve">Obtain ageing, settlement plans, counterparty confirmations and recoverability evidence; exclude unsupported balances from repayment assumptions.</w:t>
            </w:r>
          </w:p>
        </w:tc>
      </w:tr>
      <w:tr>
        <w:tc>
          <w:tcPr>
            <w:tcMar>
              <w:top w:type="dxa" w:w="40"/>
              <w:left w:type="dxa" w:w="80"/>
              <w:bottom w:type="dxa" w:w="40"/>
              <w:right w:type="dxa" w:w="80"/>
            </w:tcMar>
          </w:tcPr>
          <w:p>
            <w:r>
              <w:rPr>
                <w:rFonts w:ascii="Arial" w:cs="Arial" w:eastAsia="Arial" w:hAnsi="Arial"/>
                <w:sz w:val="18"/>
                <w:szCs w:val="18"/>
              </w:rPr>
              <w:t xml:space="preserve">Documentation and information risk</w:t>
            </w:r>
          </w:p>
        </w:tc>
        <w:tc>
          <w:tcPr>
            <w:tcMar>
              <w:top w:type="dxa" w:w="40"/>
              <w:left w:type="dxa" w:w="80"/>
              <w:bottom w:type="dxa" w:w="40"/>
              <w:right w:type="dxa" w:w="80"/>
            </w:tcMar>
          </w:tcPr>
          <w:p>
            <w:r>
              <w:rPr>
                <w:rFonts w:ascii="Arial" w:cs="Arial" w:eastAsia="Arial" w:hAnsi="Arial"/>
                <w:sz w:val="18"/>
                <w:szCs w:val="18"/>
              </w:rPr>
              <w:t xml:space="preserve">KYC, bureau reports, bank statements and collateral documents are missing; several interim periods are unaudited or not reviewed (Source: application form; relevant supplied financial statements).</w:t>
            </w:r>
          </w:p>
        </w:tc>
        <w:tc>
          <w:tcPr>
            <w:tcMar>
              <w:top w:type="dxa" w:w="40"/>
              <w:left w:type="dxa" w:w="80"/>
              <w:bottom w:type="dxa" w:w="40"/>
              <w:right w:type="dxa" w:w="80"/>
            </w:tcMar>
          </w:tcPr>
          <w:p>
            <w:r>
              <w:rPr>
                <w:rFonts w:ascii="Arial" w:cs="Arial" w:eastAsia="Arial" w:hAnsi="Arial"/>
                <w:sz w:val="18"/>
                <w:szCs w:val="18"/>
              </w:rPr>
              <w:t xml:space="preserve">Make completion of KYC, QCB/Credit Bureau checks, bank statements, audited accounts and collateral perfection conditions precedent or monitoring conditions, as applicable.</w:t>
            </w:r>
          </w:p>
        </w:tc>
      </w:tr>
    </w:tbl>
    <w:p>
      <w:pPr>
        <w:spacing w:after="60"/>
      </w:pPr>
      <w:r>
        <w:rPr>
          <w:rFonts w:ascii="Arial" w:cs="Arial" w:eastAsia="Arial" w:hAnsi="Arial"/>
          <w:sz w:val="20"/>
          <w:szCs w:val="20"/>
        </w:rPr>
        <w:t xml:space="preserve"/>
      </w:r>
    </w:p>
    <w:p>
      <w:pPr>
        <w:pStyle w:val="Heading1"/>
        <w:spacing w:after="120" w:before="240"/>
      </w:pPr>
      <w:r>
        <w:rPr>
          <w:rFonts w:ascii="Arial" w:cs="Arial" w:eastAsia="Arial" w:hAnsi="Arial"/>
          <w:b/>
          <w:bCs/>
          <w:color w:val="1F3864"/>
          <w:sz w:val="26"/>
          <w:szCs w:val="26"/>
        </w:rPr>
        <w:t xml:space="preserve">XI. Recommendation</w:t>
      </w:r>
    </w:p>
    <w:p>
      <w:pPr>
        <w:spacing w:after="120"/>
      </w:pPr>
      <w:r>
        <w:rPr>
          <w:rFonts w:ascii="Arial" w:cs="Arial" w:eastAsia="Arial" w:hAnsi="Arial"/>
          <w:i/>
          <w:iCs/>
          <w:color w:val="C00000"/>
          <w:sz w:val="16"/>
          <w:szCs w:val="16"/>
        </w:rPr>
        <w:t xml:space="preserve">[AI-generated draft — pending analyst approval]</w:t>
      </w:r>
    </w:p>
    <w:p>
      <w:pPr>
        <w:spacing w:after="60"/>
        <w:ind w:left="360" w:hanging="360"/>
      </w:pPr>
      <w:r>
        <w:rPr>
          <w:rFonts w:ascii="Arial" w:cs="Arial" w:eastAsia="Arial" w:hAnsi="Arial"/>
          <w:sz w:val="20"/>
          <w:szCs w:val="20"/>
        </w:rPr>
        <w:t xml:space="preserve">1. </w:t>
      </w:r>
      <w:r>
        <w:rPr>
          <w:rFonts w:ascii="Arial" w:cs="Arial" w:eastAsia="Arial" w:hAnsi="Arial"/>
          <w:sz w:val="20"/>
          <w:szCs w:val="20"/>
        </w:rPr>
        <w:t xml:space="preserve">The proposed Demand Loan is for USD 25,000,000K, stated as QAR 91,250,000K at the fixed parity of 3.65, for a 25-year tenor with two years’ availability and the stated pricing and security parameters (Source: application form). [Analyst to confirm: facility amount and units, as the request notation is ambiguous.] </w:t>
      </w:r>
    </w:p>
    <w:p>
      <w:pPr>
        <w:spacing w:after="60"/>
        <w:ind w:left="360" w:hanging="360"/>
      </w:pPr>
      <w:r>
        <w:rPr>
          <w:rFonts w:ascii="Arial" w:cs="Arial" w:eastAsia="Arial" w:hAnsi="Arial"/>
          <w:sz w:val="20"/>
          <w:szCs w:val="20"/>
        </w:rPr>
        <w:t xml:space="preserve">2. </w:t>
      </w:r>
      <w:r>
        <w:rPr>
          <w:rFonts w:ascii="Arial" w:cs="Arial" w:eastAsia="Arial" w:hAnsi="Arial"/>
          <w:sz w:val="20"/>
          <w:szCs w:val="20"/>
        </w:rPr>
        <w:t xml:space="preserve">The borrower demonstrates scale, positive profitability and FY2025 revenue growth of 10.8%; however, debt-service capacity is weak, with indicated DSCR of 0.40x and audited operating cash flow materially below reported debt service (Source: application form; SIIL Console FS 2025</w:t>
      </w:r>
      <w:r>
        <w:rPr>
          <w:rFonts w:ascii="Arial" w:cs="Arial" w:eastAsia="Arial" w:hAnsi="Arial"/>
          <w:i/>
          <w:iCs/>
          <w:sz w:val="20"/>
          <w:szCs w:val="20"/>
        </w:rPr>
        <w:t xml:space="preserve">EN</w:t>
      </w:r>
      <w:r>
        <w:rPr>
          <w:rFonts w:ascii="Arial" w:cs="Arial" w:eastAsia="Arial" w:hAnsi="Arial"/>
          <w:sz w:val="20"/>
          <w:szCs w:val="20"/>
        </w:rPr>
        <w:t xml:space="preserve">Signed.pdf, p.35).</w:t>
      </w:r>
    </w:p>
    <w:p>
      <w:pPr>
        <w:spacing w:after="60"/>
        <w:ind w:left="360" w:hanging="360"/>
      </w:pPr>
      <w:r>
        <w:rPr>
          <w:rFonts w:ascii="Arial" w:cs="Arial" w:eastAsia="Arial" w:hAnsi="Arial"/>
          <w:sz w:val="20"/>
          <w:szCs w:val="20"/>
        </w:rPr>
        <w:t xml:space="preserve">3. </w:t>
      </w:r>
      <w:r>
        <w:rPr>
          <w:rFonts w:ascii="Arial" w:cs="Arial" w:eastAsia="Arial" w:hAnsi="Arial"/>
          <w:sz w:val="20"/>
          <w:szCs w:val="20"/>
        </w:rPr>
        <w:t xml:space="preserve">The principal credit concerns are high leverage, material overdue and related-party receivables, encumbered investment properties, contingent obligations and reliance on reviewed or unreviewed interim information (Source: SIIL Console FS 2025</w:t>
      </w:r>
      <w:r>
        <w:rPr>
          <w:rFonts w:ascii="Arial" w:cs="Arial" w:eastAsia="Arial" w:hAnsi="Arial"/>
          <w:i/>
          <w:iCs/>
          <w:sz w:val="20"/>
          <w:szCs w:val="20"/>
        </w:rPr>
        <w:t xml:space="preserve">EN</w:t>
      </w:r>
      <w:r>
        <w:rPr>
          <w:rFonts w:ascii="Arial" w:cs="Arial" w:eastAsia="Arial" w:hAnsi="Arial"/>
          <w:sz w:val="20"/>
          <w:szCs w:val="20"/>
        </w:rPr>
        <w:t xml:space="preserve">Signed.pdf, pp.35, 60, 66, 81; SIIL -HY 2026-English Signed.pdf, pp.1, 16, 19, 23).</w:t>
      </w:r>
    </w:p>
    <w:p>
      <w:pPr>
        <w:spacing w:after="60"/>
        <w:ind w:left="360" w:hanging="360"/>
      </w:pPr>
      <w:r>
        <w:rPr>
          <w:rFonts w:ascii="Arial" w:cs="Arial" w:eastAsia="Arial" w:hAnsi="Arial"/>
          <w:sz w:val="20"/>
          <w:szCs w:val="20"/>
        </w:rPr>
        <w:t xml:space="preserve">4. </w:t>
      </w:r>
      <w:r>
        <w:rPr>
          <w:rFonts w:ascii="Arial" w:cs="Arial" w:eastAsia="Arial" w:hAnsi="Arial"/>
          <w:sz w:val="20"/>
          <w:szCs w:val="20"/>
        </w:rPr>
        <w:t xml:space="preserve">No guarantor, bank statements, QCB/Credit Bureau reports, KYC documents or collateral documents have been provided. Company information and sponsor details also remain outstanding (Source: application form).</w:t>
      </w:r>
    </w:p>
    <w:p>
      <w:pPr>
        <w:spacing w:after="60"/>
        <w:ind w:left="360" w:hanging="360"/>
      </w:pPr>
      <w:r>
        <w:rPr>
          <w:rFonts w:ascii="Arial" w:cs="Arial" w:eastAsia="Arial" w:hAnsi="Arial"/>
          <w:sz w:val="20"/>
          <w:szCs w:val="20"/>
        </w:rPr>
        <w:t xml:space="preserve">5. </w:t>
      </w:r>
      <w:r>
        <w:rPr>
          <w:rFonts w:ascii="Arial" w:cs="Arial" w:eastAsia="Arial" w:hAnsi="Arial"/>
          <w:sz w:val="20"/>
          <w:szCs w:val="20"/>
        </w:rPr>
        <w:t xml:space="preserve">Any favourable consideration should be subject to satisfactory completion of the missing information, QCB approval for FX lending, confirmation of repayment sources, independent collateral valuation and perfected security, together with appropriate financial reporting and covenant conditions.</w:t>
      </w:r>
    </w:p>
    <w:p>
      <w:pPr>
        <w:spacing w:after="120"/>
        <w:jc w:val="both"/>
      </w:pPr>
      <w:r>
        <w:rPr>
          <w:rFonts w:ascii="Arial" w:cs="Arial" w:eastAsia="Arial" w:hAnsi="Arial"/>
          <w:sz w:val="20"/>
          <w:szCs w:val="20"/>
        </w:rPr>
        <w:t xml:space="preserve">The facility is proposed for the Credit Committee’s consideration, subject to confirmation of the outstanding matters and satisfaction of all applicable conditions precedent.</w:t>
      </w:r>
    </w:p>
    <w:p>
      <w:pPr>
        <w:pStyle w:val="Heading1"/>
        <w:spacing w:after="120" w:before="240"/>
      </w:pPr>
      <w:r>
        <w:rPr>
          <w:rFonts w:ascii="Arial" w:cs="Arial" w:eastAsia="Arial" w:hAnsi="Arial"/>
          <w:b/>
          <w:bCs/>
          <w:color w:val="1F3864"/>
          <w:sz w:val="26"/>
          <w:szCs w:val="26"/>
        </w:rPr>
        <w:t xml:space="preserve">Additional Sections</w:t>
      </w:r>
    </w:p>
    <w:p>
      <w:pPr>
        <w:pStyle w:val="Heading2"/>
        <w:spacing w:after="120" w:before="240"/>
      </w:pPr>
      <w:r>
        <w:rPr>
          <w:rFonts w:ascii="Arial" w:cs="Arial" w:eastAsia="Arial" w:hAnsi="Arial"/>
          <w:b/>
          <w:bCs/>
          <w:color w:val="1F3864"/>
          <w:sz w:val="22"/>
          <w:szCs w:val="22"/>
        </w:rPr>
        <w:t xml:space="preserve">Can you please include the past 10 years' worth of dividend history and make a graph of it as well, and do some analysis</w:t>
      </w:r>
    </w:p>
    <w:p>
      <w:pPr>
        <w:spacing w:after="120"/>
      </w:pPr>
      <w:r>
        <w:rPr>
          <w:rFonts w:ascii="Arial" w:cs="Arial" w:eastAsia="Arial" w:hAnsi="Arial"/>
          <w:i/>
          <w:iCs/>
          <w:color w:val="C00000"/>
          <w:sz w:val="16"/>
          <w:szCs w:val="16"/>
        </w:rPr>
        <w:t xml:space="preserve">[Researched on the web — not taken from the uploaded document pack; every figure must be verified]</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following information was obtained from publicly available sources and is </w:t>
      </w:r>
      <w:r>
        <w:rPr>
          <w:rFonts w:ascii="Arial" w:cs="Arial" w:eastAsia="Arial" w:hAnsi="Arial"/>
          <w:b/>
          <w:bCs/>
          <w:sz w:val="20"/>
          <w:szCs w:val="20"/>
        </w:rPr>
        <w:t xml:space="preserve">not contained in the bank’s document pack</w:t>
      </w:r>
      <w:r>
        <w:rPr>
          <w:rFonts w:ascii="Arial" w:cs="Arial" w:eastAsia="Arial" w:hAnsi="Arial"/>
          <w:sz w:val="20"/>
          <w:szCs w:val="20"/>
        </w:rPr>
        <w:t xml:space="preserve">. The ten completed financial years are taken as FY2016–FY2025; FY2026 is excluded as incomplete as at September 2026.</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Financial year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Cash dividend (% of paid-up capital)</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Dividend per share (QAR)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Status/source</w:t>
            </w:r>
          </w:p>
        </w:tc>
      </w:tr>
      <w:tr>
        <w:tc>
          <w:tcPr>
            <w:tcMar>
              <w:top w:type="dxa" w:w="40"/>
              <w:left w:type="dxa" w:w="80"/>
              <w:bottom w:type="dxa" w:w="40"/>
              <w:right w:type="dxa" w:w="80"/>
            </w:tcMar>
          </w:tcPr>
          <w:p>
            <w:r>
              <w:rPr>
                <w:rFonts w:ascii="Arial" w:cs="Arial" w:eastAsia="Arial" w:hAnsi="Arial"/>
                <w:sz w:val="18"/>
                <w:szCs w:val="18"/>
              </w:rPr>
              <w:t xml:space="preserve">2016</w:t>
            </w:r>
          </w:p>
        </w:tc>
        <w:tc>
          <w:tcPr>
            <w:tcMar>
              <w:top w:type="dxa" w:w="40"/>
              <w:left w:type="dxa" w:w="80"/>
              <w:bottom w:type="dxa" w:w="40"/>
              <w:right w:type="dxa" w:w="80"/>
            </w:tcMar>
          </w:tcPr>
          <w:p>
            <w:r>
              <w:rPr>
                <w:rFonts w:ascii="Arial" w:cs="Arial" w:eastAsia="Arial" w:hAnsi="Arial"/>
                <w:sz w:val="18"/>
                <w:szCs w:val="18"/>
              </w:rPr>
              <w:t xml:space="preserve">8%</w:t>
            </w:r>
          </w:p>
        </w:tc>
        <w:tc>
          <w:tcPr>
            <w:tcMar>
              <w:top w:type="dxa" w:w="40"/>
              <w:left w:type="dxa" w:w="80"/>
              <w:bottom w:type="dxa" w:w="40"/>
              <w:right w:type="dxa" w:w="80"/>
            </w:tcMar>
          </w:tcPr>
          <w:p>
            <w:r>
              <w:rPr>
                <w:rFonts w:ascii="Arial" w:cs="Arial" w:eastAsia="Arial" w:hAnsi="Arial"/>
                <w:sz w:val="18"/>
                <w:szCs w:val="18"/>
              </w:rPr>
              <w:t xml:space="preserve">0.80</w:t>
            </w:r>
          </w:p>
        </w:tc>
        <w:tc>
          <w:tcPr>
            <w:tcMar>
              <w:top w:type="dxa" w:w="40"/>
              <w:left w:type="dxa" w:w="80"/>
              <w:bottom w:type="dxa" w:w="40"/>
              <w:right w:type="dxa" w:w="80"/>
            </w:tcMar>
          </w:tcPr>
          <w:p>
            <w:r>
              <w:rPr>
                <w:rFonts w:ascii="Arial" w:cs="Arial" w:eastAsia="Arial" w:hAnsi="Arial"/>
                <w:sz w:val="18"/>
                <w:szCs w:val="18"/>
              </w:rPr>
              <w:t xml:space="preserve">[SIIL Annual Report 2016](https://siis.com/wp-content/uploads/2022/10/Annual-Report-2016-English.pdf?forcedownload=1)</w:t>
            </w:r>
          </w:p>
        </w:tc>
      </w:tr>
      <w:tr>
        <w:tc>
          <w:tcPr>
            <w:tcMar>
              <w:top w:type="dxa" w:w="40"/>
              <w:left w:type="dxa" w:w="80"/>
              <w:bottom w:type="dxa" w:w="40"/>
              <w:right w:type="dxa" w:w="80"/>
            </w:tcMar>
          </w:tcPr>
          <w:p>
            <w:r>
              <w:rPr>
                <w:rFonts w:ascii="Arial" w:cs="Arial" w:eastAsia="Arial" w:hAnsi="Arial"/>
                <w:sz w:val="18"/>
                <w:szCs w:val="18"/>
              </w:rPr>
              <w:t xml:space="preserve">2017</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0.00</w:t>
            </w:r>
          </w:p>
        </w:tc>
        <w:tc>
          <w:tcPr>
            <w:tcMar>
              <w:top w:type="dxa" w:w="40"/>
              <w:left w:type="dxa" w:w="80"/>
              <w:bottom w:type="dxa" w:w="40"/>
              <w:right w:type="dxa" w:w="80"/>
            </w:tcMar>
          </w:tcPr>
          <w:p>
            <w:r>
              <w:rPr>
                <w:rFonts w:ascii="Arial" w:cs="Arial" w:eastAsia="Arial" w:hAnsi="Arial"/>
                <w:sz w:val="18"/>
                <w:szCs w:val="18"/>
              </w:rPr>
              <w:t xml:space="preserve">[SIIL Annual Report archive](https://siis.com/investors/)</w:t>
            </w:r>
          </w:p>
        </w:tc>
      </w:tr>
      <w:tr>
        <w:tc>
          <w:tcPr>
            <w:tcMar>
              <w:top w:type="dxa" w:w="40"/>
              <w:left w:type="dxa" w:w="80"/>
              <w:bottom w:type="dxa" w:w="40"/>
              <w:right w:type="dxa" w:w="80"/>
            </w:tcMar>
          </w:tcPr>
          <w:p>
            <w:r>
              <w:rPr>
                <w:rFonts w:ascii="Arial" w:cs="Arial" w:eastAsia="Arial" w:hAnsi="Arial"/>
                <w:sz w:val="18"/>
                <w:szCs w:val="18"/>
              </w:rPr>
              <w:t xml:space="preserve">2018</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0.00</w:t>
            </w:r>
          </w:p>
        </w:tc>
        <w:tc>
          <w:tcPr>
            <w:tcMar>
              <w:top w:type="dxa" w:w="40"/>
              <w:left w:type="dxa" w:w="80"/>
              <w:bottom w:type="dxa" w:w="40"/>
              <w:right w:type="dxa" w:w="80"/>
            </w:tcMar>
          </w:tcPr>
          <w:p>
            <w:r>
              <w:rPr>
                <w:rFonts w:ascii="Arial" w:cs="Arial" w:eastAsia="Arial" w:hAnsi="Arial"/>
                <w:sz w:val="18"/>
                <w:szCs w:val="18"/>
              </w:rPr>
              <w:t xml:space="preserve">[Gulf Times AGM report, 2 April 2019](https://www.gulf-times.com/story/627622/salam-international-investment-shareholders-approve-stock-split)</w:t>
            </w:r>
          </w:p>
        </w:tc>
      </w:tr>
      <w:tr>
        <w:tc>
          <w:tcPr>
            <w:tcMar>
              <w:top w:type="dxa" w:w="40"/>
              <w:left w:type="dxa" w:w="80"/>
              <w:bottom w:type="dxa" w:w="40"/>
              <w:right w:type="dxa" w:w="80"/>
            </w:tcMar>
          </w:tcPr>
          <w:p>
            <w:r>
              <w:rPr>
                <w:rFonts w:ascii="Arial" w:cs="Arial" w:eastAsia="Arial" w:hAnsi="Arial"/>
                <w:sz w:val="18"/>
                <w:szCs w:val="18"/>
              </w:rPr>
              <w:t xml:space="preserve">2019</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0.00</w:t>
            </w:r>
          </w:p>
        </w:tc>
        <w:tc>
          <w:tcPr>
            <w:tcMar>
              <w:top w:type="dxa" w:w="40"/>
              <w:left w:type="dxa" w:w="80"/>
              <w:bottom w:type="dxa" w:w="40"/>
              <w:right w:type="dxa" w:w="80"/>
            </w:tcMar>
          </w:tcPr>
          <w:p>
            <w:r>
              <w:rPr>
                <w:rFonts w:ascii="Arial" w:cs="Arial" w:eastAsia="Arial" w:hAnsi="Arial"/>
                <w:sz w:val="18"/>
                <w:szCs w:val="18"/>
              </w:rPr>
              <w:t xml:space="preserve">[SIIL Annual Report archive](https://siis.com/investors/)</w:t>
            </w:r>
          </w:p>
        </w:tc>
      </w:tr>
      <w:tr>
        <w:tc>
          <w:tcPr>
            <w:tcMar>
              <w:top w:type="dxa" w:w="40"/>
              <w:left w:type="dxa" w:w="80"/>
              <w:bottom w:type="dxa" w:w="40"/>
              <w:right w:type="dxa" w:w="80"/>
            </w:tcMar>
          </w:tcPr>
          <w:p>
            <w:r>
              <w:rPr>
                <w:rFonts w:ascii="Arial" w:cs="Arial" w:eastAsia="Arial" w:hAnsi="Arial"/>
                <w:sz w:val="18"/>
                <w:szCs w:val="18"/>
              </w:rPr>
              <w:t xml:space="preserve">2020</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0.00</w:t>
            </w:r>
          </w:p>
        </w:tc>
        <w:tc>
          <w:tcPr>
            <w:tcMar>
              <w:top w:type="dxa" w:w="40"/>
              <w:left w:type="dxa" w:w="80"/>
              <w:bottom w:type="dxa" w:w="40"/>
              <w:right w:type="dxa" w:w="80"/>
            </w:tcMar>
          </w:tcPr>
          <w:p>
            <w:r>
              <w:rPr>
                <w:rFonts w:ascii="Arial" w:cs="Arial" w:eastAsia="Arial" w:hAnsi="Arial"/>
                <w:sz w:val="18"/>
                <w:szCs w:val="18"/>
              </w:rPr>
              <w:t xml:space="preserve">[SIIL Annual Report archive](https://siis.com/investors/)</w:t>
            </w:r>
          </w:p>
        </w:tc>
      </w:tr>
      <w:tr>
        <w:tc>
          <w:tcPr>
            <w:tcMar>
              <w:top w:type="dxa" w:w="40"/>
              <w:left w:type="dxa" w:w="80"/>
              <w:bottom w:type="dxa" w:w="40"/>
              <w:right w:type="dxa" w:w="80"/>
            </w:tcMar>
          </w:tcPr>
          <w:p>
            <w:r>
              <w:rPr>
                <w:rFonts w:ascii="Arial" w:cs="Arial" w:eastAsia="Arial" w:hAnsi="Arial"/>
                <w:sz w:val="18"/>
                <w:szCs w:val="18"/>
              </w:rPr>
              <w:t xml:space="preserve">2021</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0.00</w:t>
            </w:r>
          </w:p>
        </w:tc>
        <w:tc>
          <w:tcPr>
            <w:tcMar>
              <w:top w:type="dxa" w:w="40"/>
              <w:left w:type="dxa" w:w="80"/>
              <w:bottom w:type="dxa" w:w="40"/>
              <w:right w:type="dxa" w:w="80"/>
            </w:tcMar>
          </w:tcPr>
          <w:p>
            <w:r>
              <w:rPr>
                <w:rFonts w:ascii="Arial" w:cs="Arial" w:eastAsia="Arial" w:hAnsi="Arial"/>
                <w:sz w:val="18"/>
                <w:szCs w:val="18"/>
              </w:rPr>
              <w:t xml:space="preserve">[SIIL Annual Report archive](https://siis.com/investors/)</w:t>
            </w:r>
          </w:p>
        </w:tc>
      </w:tr>
      <w:tr>
        <w:tc>
          <w:tcPr>
            <w:tcMar>
              <w:top w:type="dxa" w:w="40"/>
              <w:left w:type="dxa" w:w="80"/>
              <w:bottom w:type="dxa" w:w="40"/>
              <w:right w:type="dxa" w:w="80"/>
            </w:tcMar>
          </w:tcPr>
          <w:p>
            <w:r>
              <w:rPr>
                <w:rFonts w:ascii="Arial" w:cs="Arial" w:eastAsia="Arial" w:hAnsi="Arial"/>
                <w:sz w:val="18"/>
                <w:szCs w:val="18"/>
              </w:rPr>
              <w:t xml:space="preserve">2022</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0.00</w:t>
            </w:r>
          </w:p>
        </w:tc>
        <w:tc>
          <w:tcPr>
            <w:tcMar>
              <w:top w:type="dxa" w:w="40"/>
              <w:left w:type="dxa" w:w="80"/>
              <w:bottom w:type="dxa" w:w="40"/>
              <w:right w:type="dxa" w:w="80"/>
            </w:tcMar>
          </w:tcPr>
          <w:p>
            <w:r>
              <w:rPr>
                <w:rFonts w:ascii="Arial" w:cs="Arial" w:eastAsia="Arial" w:hAnsi="Arial"/>
                <w:sz w:val="18"/>
                <w:szCs w:val="18"/>
              </w:rPr>
              <w:t xml:space="preserve">[SIIL Annual Report archive](https://siis.com/investors/)</w:t>
            </w:r>
          </w:p>
        </w:tc>
      </w:tr>
      <w:tr>
        <w:tc>
          <w:tcPr>
            <w:tcMar>
              <w:top w:type="dxa" w:w="40"/>
              <w:left w:type="dxa" w:w="80"/>
              <w:bottom w:type="dxa" w:w="40"/>
              <w:right w:type="dxa" w:w="80"/>
            </w:tcMar>
          </w:tcPr>
          <w:p>
            <w:r>
              <w:rPr>
                <w:rFonts w:ascii="Arial" w:cs="Arial" w:eastAsia="Arial" w:hAnsi="Arial"/>
                <w:sz w:val="18"/>
                <w:szCs w:val="18"/>
              </w:rPr>
              <w:t xml:space="preserve">2023</w:t>
            </w:r>
          </w:p>
        </w:tc>
        <w:tc>
          <w:tcPr>
            <w:tcMar>
              <w:top w:type="dxa" w:w="40"/>
              <w:left w:type="dxa" w:w="80"/>
              <w:bottom w:type="dxa" w:w="40"/>
              <w:right w:type="dxa" w:w="80"/>
            </w:tcMar>
          </w:tcPr>
          <w:p>
            <w:r>
              <w:rPr>
                <w:rFonts w:ascii="Arial" w:cs="Arial" w:eastAsia="Arial" w:hAnsi="Arial"/>
                <w:sz w:val="18"/>
                <w:szCs w:val="18"/>
              </w:rPr>
              <w:t xml:space="preserve">3%</w:t>
            </w:r>
          </w:p>
        </w:tc>
        <w:tc>
          <w:tcPr>
            <w:tcMar>
              <w:top w:type="dxa" w:w="40"/>
              <w:left w:type="dxa" w:w="80"/>
              <w:bottom w:type="dxa" w:w="40"/>
              <w:right w:type="dxa" w:w="80"/>
            </w:tcMar>
          </w:tcPr>
          <w:p>
            <w:r>
              <w:rPr>
                <w:rFonts w:ascii="Arial" w:cs="Arial" w:eastAsia="Arial" w:hAnsi="Arial"/>
                <w:sz w:val="18"/>
                <w:szCs w:val="18"/>
              </w:rPr>
              <w:t xml:space="preserve">0.03</w:t>
            </w:r>
          </w:p>
        </w:tc>
        <w:tc>
          <w:tcPr>
            <w:tcMar>
              <w:top w:type="dxa" w:w="40"/>
              <w:left w:type="dxa" w:w="80"/>
              <w:bottom w:type="dxa" w:w="40"/>
              <w:right w:type="dxa" w:w="80"/>
            </w:tcMar>
          </w:tcPr>
          <w:p>
            <w:r>
              <w:rPr>
                <w:rFonts w:ascii="Arial" w:cs="Arial" w:eastAsia="Arial" w:hAnsi="Arial"/>
                <w:sz w:val="18"/>
                <w:szCs w:val="18"/>
              </w:rPr>
              <w:t xml:space="preserve">[SIIL Annual Report 2024](https://siis.com/wp-content/uploads/2025/03/SIIL-AnnualReport2024-EN-AW-Digital.pdf)</w:t>
            </w:r>
          </w:p>
        </w:tc>
      </w:tr>
      <w:tr>
        <w:tc>
          <w:tcPr>
            <w:tcMar>
              <w:top w:type="dxa" w:w="40"/>
              <w:left w:type="dxa" w:w="80"/>
              <w:bottom w:type="dxa" w:w="40"/>
              <w:right w:type="dxa" w:w="80"/>
            </w:tcMar>
          </w:tcPr>
          <w:p>
            <w:r>
              <w:rPr>
                <w:rFonts w:ascii="Arial" w:cs="Arial" w:eastAsia="Arial" w:hAnsi="Arial"/>
                <w:sz w:val="18"/>
                <w:szCs w:val="18"/>
              </w:rPr>
              <w:t xml:space="preserve">2024</w:t>
            </w:r>
          </w:p>
        </w:tc>
        <w:tc>
          <w:tcPr>
            <w:tcMar>
              <w:top w:type="dxa" w:w="40"/>
              <w:left w:type="dxa" w:w="80"/>
              <w:bottom w:type="dxa" w:w="40"/>
              <w:right w:type="dxa" w:w="80"/>
            </w:tcMar>
          </w:tcPr>
          <w:p>
            <w:r>
              <w:rPr>
                <w:rFonts w:ascii="Arial" w:cs="Arial" w:eastAsia="Arial" w:hAnsi="Arial"/>
                <w:sz w:val="18"/>
                <w:szCs w:val="18"/>
              </w:rPr>
              <w:t xml:space="preserve">4%</w:t>
            </w:r>
          </w:p>
        </w:tc>
        <w:tc>
          <w:tcPr>
            <w:tcMar>
              <w:top w:type="dxa" w:w="40"/>
              <w:left w:type="dxa" w:w="80"/>
              <w:bottom w:type="dxa" w:w="40"/>
              <w:right w:type="dxa" w:w="80"/>
            </w:tcMar>
          </w:tcPr>
          <w:p>
            <w:r>
              <w:rPr>
                <w:rFonts w:ascii="Arial" w:cs="Arial" w:eastAsia="Arial" w:hAnsi="Arial"/>
                <w:sz w:val="18"/>
                <w:szCs w:val="18"/>
              </w:rPr>
              <w:t xml:space="preserve">0.04</w:t>
            </w:r>
          </w:p>
        </w:tc>
        <w:tc>
          <w:tcPr>
            <w:tcMar>
              <w:top w:type="dxa" w:w="40"/>
              <w:left w:type="dxa" w:w="80"/>
              <w:bottom w:type="dxa" w:w="40"/>
              <w:right w:type="dxa" w:w="80"/>
            </w:tcMar>
          </w:tcPr>
          <w:p>
            <w:r>
              <w:rPr>
                <w:rFonts w:ascii="Arial" w:cs="Arial" w:eastAsia="Arial" w:hAnsi="Arial"/>
                <w:sz w:val="18"/>
                <w:szCs w:val="18"/>
              </w:rPr>
              <w:t xml:space="preserve">[SIIL Annual Report 2025](https://siis.com/wp-content/uploads/2026/03/SIIL-AnnualReport2025-En-Single-Pages.pdf)</w:t>
            </w:r>
          </w:p>
        </w:tc>
      </w:tr>
      <w:tr>
        <w:tc>
          <w:tcPr>
            <w:tcMar>
              <w:top w:type="dxa" w:w="40"/>
              <w:left w:type="dxa" w:w="80"/>
              <w:bottom w:type="dxa" w:w="40"/>
              <w:right w:type="dxa" w:w="80"/>
            </w:tcMar>
          </w:tcPr>
          <w:p>
            <w:r>
              <w:rPr>
                <w:rFonts w:ascii="Arial" w:cs="Arial" w:eastAsia="Arial" w:hAnsi="Arial"/>
                <w:sz w:val="18"/>
                <w:szCs w:val="18"/>
              </w:rPr>
              <w:t xml:space="preserve">2025</w:t>
            </w:r>
          </w:p>
        </w:tc>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0.06</w:t>
            </w:r>
          </w:p>
        </w:tc>
        <w:tc>
          <w:tcPr>
            <w:tcMar>
              <w:top w:type="dxa" w:w="40"/>
              <w:left w:type="dxa" w:w="80"/>
              <w:bottom w:type="dxa" w:w="40"/>
              <w:right w:type="dxa" w:w="80"/>
            </w:tcMar>
          </w:tcPr>
          <w:p>
            <w:r>
              <w:rPr>
                <w:rFonts w:ascii="Arial" w:cs="Arial" w:eastAsia="Arial" w:hAnsi="Arial"/>
                <w:sz w:val="18"/>
                <w:szCs w:val="18"/>
              </w:rPr>
              <w:t xml:space="preserve">[Qatar Stock Exchange disclosure, 29 March 2026](https://qe.com.qa/en/displaynewsdetails?InfoID=45532)</w:t>
            </w:r>
          </w:p>
        </w:tc>
      </w:tr>
    </w:tbl>
    <w:p>
      <w:pPr>
        <w:spacing w:after="60"/>
      </w:pPr>
      <w:r>
        <w:rPr>
          <w:rFonts w:ascii="Arial" w:cs="Arial" w:eastAsia="Arial" w:hAnsi="Arial"/>
          <w:sz w:val="20"/>
          <w:szCs w:val="20"/>
        </w:rPr>
        <w:t xml:space="preserve"/>
      </w:r>
    </w:p>
    <w:p>
      <w:pPr>
        <w:spacing w:after="120"/>
        <w:jc w:val="both"/>
      </w:pPr>
      <w:r>
        <w:rPr>
          <w:rFonts w:ascii="Arial" w:cs="Arial" w:eastAsia="Arial" w:hAnsi="Arial"/>
          <w:sz w:val="20"/>
          <w:szCs w:val="20"/>
        </w:rPr>
        <w:t xml:space="preserve">The record indicates a seven-year period without shareholder distributions from FY2017–FY2022, followed by resumed distributions in FY2023 and increases in FY2024 and FY2025. The apparent reduction from QAR0.80 per share in FY2016 to QAR0.03 thereafter is not directly comparable because Qatar-listed companies implemented a ten-for-one share split in 2019; distribution percentages are therefore the more meaningful comparison. ([edaa.gov.qa](https://www.edaa.gov.qa/en/news/506-announcement10042019?utm_source=openai))</w:t>
      </w:r>
    </w:p>
    <w:p>
      <w:pPr>
        <w:spacing w:after="120"/>
        <w:jc w:val="both"/>
      </w:pPr>
      <w:r>
        <w:rPr>
          <w:rFonts w:ascii="Arial" w:cs="Arial" w:eastAsia="Arial" w:hAnsi="Arial"/>
          <w:b/>
          <w:bCs/>
          <w:sz w:val="20"/>
          <w:szCs w:val="20"/>
        </w:rPr>
        <w:t xml:space="preserve">Sources — web research:</w:t>
      </w:r>
    </w:p>
    <w:p>
      <w:pPr>
        <w:pStyle w:val="ListParagraph"/>
        <w:numPr>
          <w:ilvl w:val="0"/>
          <w:numId w:val="1"/>
        </w:numPr>
        <w:spacing w:after="60"/>
      </w:pPr>
      <w:r>
        <w:rPr>
          <w:rFonts w:ascii="Arial" w:cs="Arial" w:eastAsia="Arial" w:hAnsi="Arial"/>
          <w:sz w:val="20"/>
          <w:szCs w:val="20"/>
        </w:rPr>
        <w:t xml:space="preserve">[QFMA announces the beginning of stock split implementation from the 9th of June 2019 - EDAA](https://www.edaa.gov.qa/en/news/506-announcement10042019?utm_source=openai)</w:t>
      </w:r>
    </w:p>
    <w:p>
      <w:pPr>
        <w:spacing w:after="60"/>
      </w:pPr>
      <w:r>
        <w:rPr>
          <w:rFonts w:ascii="Arial" w:cs="Arial" w:eastAsia="Arial" w:hAnsi="Arial"/>
          <w:b/>
          <w:bCs/>
          <w:sz w:val="18"/>
          <w:szCs w:val="18"/>
        </w:rPr>
        <w:t xml:space="preserve">Salam International cash dividend per share (QAR per share)</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Series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2016</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2017</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2018</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2019</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2020</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2021</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2022</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2023</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2024</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2025</w:t>
            </w:r>
          </w:p>
        </w:tc>
      </w:tr>
      <w:tr>
        <w:tc>
          <w:tcPr>
            <w:tcMar>
              <w:top w:type="dxa" w:w="40"/>
              <w:left w:type="dxa" w:w="80"/>
              <w:bottom w:type="dxa" w:w="40"/>
              <w:right w:type="dxa" w:w="80"/>
            </w:tcMar>
          </w:tcPr>
          <w:p>
            <w:r>
              <w:rPr>
                <w:rFonts w:ascii="Arial" w:cs="Arial" w:eastAsia="Arial" w:hAnsi="Arial"/>
                <w:b/>
                <w:bCs/>
                <w:sz w:val="18"/>
                <w:szCs w:val="18"/>
              </w:rPr>
              <w:t xml:space="preserve">Dividend per share</w:t>
            </w:r>
          </w:p>
        </w:tc>
        <w:tc>
          <w:tcPr>
            <w:tcMar>
              <w:top w:type="dxa" w:w="40"/>
              <w:left w:type="dxa" w:w="80"/>
              <w:bottom w:type="dxa" w:w="40"/>
              <w:right w:type="dxa" w:w="80"/>
            </w:tcMar>
          </w:tcPr>
          <w:p>
            <w:pPr>
              <w:jc w:val="right"/>
            </w:pPr>
            <w:r>
              <w:rPr>
                <w:rFonts w:ascii="Arial" w:cs="Arial" w:eastAsia="Arial" w:hAnsi="Arial"/>
                <w:sz w:val="18"/>
                <w:szCs w:val="18"/>
              </w:rPr>
              <w:t xml:space="preserve">0.80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0.00</w:t>
            </w:r>
          </w:p>
        </w:tc>
        <w:tc>
          <w:tcPr>
            <w:tcMar>
              <w:top w:type="dxa" w:w="40"/>
              <w:left w:type="dxa" w:w="80"/>
              <w:bottom w:type="dxa" w:w="40"/>
              <w:right w:type="dxa" w:w="80"/>
            </w:tcMar>
          </w:tcPr>
          <w:p>
            <w:pPr>
              <w:jc w:val="right"/>
            </w:pPr>
            <w:r>
              <w:rPr>
                <w:rFonts w:ascii="Arial" w:cs="Arial" w:eastAsia="Arial" w:hAnsi="Arial"/>
                <w:sz w:val="18"/>
                <w:szCs w:val="18"/>
              </w:rPr>
              <w:t xml:space="preserve">0.03</w:t>
            </w:r>
          </w:p>
        </w:tc>
        <w:tc>
          <w:tcPr>
            <w:tcMar>
              <w:top w:type="dxa" w:w="40"/>
              <w:left w:type="dxa" w:w="80"/>
              <w:bottom w:type="dxa" w:w="40"/>
              <w:right w:type="dxa" w:w="80"/>
            </w:tcMar>
          </w:tcPr>
          <w:p>
            <w:pPr>
              <w:jc w:val="right"/>
            </w:pPr>
            <w:r>
              <w:rPr>
                <w:rFonts w:ascii="Arial" w:cs="Arial" w:eastAsia="Arial" w:hAnsi="Arial"/>
                <w:sz w:val="18"/>
                <w:szCs w:val="18"/>
              </w:rPr>
              <w:t xml:space="preserve">0.04</w:t>
            </w:r>
          </w:p>
        </w:tc>
        <w:tc>
          <w:tcPr>
            <w:tcMar>
              <w:top w:type="dxa" w:w="40"/>
              <w:left w:type="dxa" w:w="80"/>
              <w:bottom w:type="dxa" w:w="40"/>
              <w:right w:type="dxa" w:w="80"/>
            </w:tcMar>
          </w:tcPr>
          <w:p>
            <w:pPr>
              <w:jc w:val="right"/>
            </w:pPr>
            <w:r>
              <w:rPr>
                <w:rFonts w:ascii="Arial" w:cs="Arial" w:eastAsia="Arial" w:hAnsi="Arial"/>
                <w:sz w:val="18"/>
                <w:szCs w:val="18"/>
              </w:rPr>
              <w:t xml:space="preserve">0.06</w:t>
            </w:r>
          </w:p>
        </w:tc>
      </w:tr>
    </w:tbl>
    <w:p>
      <w:pPr>
        <w:spacing w:after="120"/>
      </w:pPr>
      <w:r>
        <w:rPr>
          <w:rFonts w:ascii="Arial" w:cs="Arial" w:eastAsia="Arial" w:hAnsi="Arial"/>
          <w:i/>
          <w:iCs/>
          <w:color w:val="595959"/>
          <w:sz w:val="16"/>
          <w:szCs w:val="16"/>
        </w:rPr>
        <w:t xml:space="preserve">Sources: SIIL annual reports, Qatar Stock Exchange disclosures and SIIL investor archive</w:t>
      </w:r>
    </w:p>
    <w:p>
      <w:pPr>
        <w:pStyle w:val="Heading2"/>
        <w:spacing w:after="120" w:before="240"/>
      </w:pPr>
      <w:r>
        <w:rPr>
          <w:rFonts w:ascii="Arial" w:cs="Arial" w:eastAsia="Arial" w:hAnsi="Arial"/>
          <w:b/>
          <w:bCs/>
          <w:color w:val="1F3864"/>
          <w:sz w:val="22"/>
          <w:szCs w:val="22"/>
        </w:rPr>
        <w:t xml:space="preserve">please add a past 10 year dividend history chart and analyze that from consistancy prespective</w:t>
      </w:r>
    </w:p>
    <w:p>
      <w:pPr>
        <w:spacing w:after="120"/>
      </w:pPr>
      <w:r>
        <w:rPr>
          <w:rFonts w:ascii="Arial" w:cs="Arial" w:eastAsia="Arial" w:hAnsi="Arial"/>
          <w:i/>
          <w:iCs/>
          <w:color w:val="C00000"/>
          <w:sz w:val="16"/>
          <w:szCs w:val="16"/>
        </w:rPr>
        <w:t xml:space="preserve">[Researched on the web — not taken from the uploaded document pack; every figure must be verified]</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publicly available information reviewed does not provide a verifiable dividend record for the exact entity named </w:t>
      </w:r>
      <w:r>
        <w:rPr>
          <w:rFonts w:ascii="Arial" w:cs="Arial" w:eastAsia="Arial" w:hAnsi="Arial"/>
          <w:b/>
          <w:bCs/>
          <w:sz w:val="20"/>
          <w:szCs w:val="20"/>
        </w:rPr>
        <w:t xml:space="preserve">Bain Industries</w:t>
      </w:r>
      <w:r>
        <w:rPr>
          <w:rFonts w:ascii="Arial" w:cs="Arial" w:eastAsia="Arial" w:hAnsi="Arial"/>
          <w:sz w:val="20"/>
          <w:szCs w:val="20"/>
        </w:rPr>
        <w:t xml:space="preserve">. Search results primarily relate to unrelated organisations, including Bain &amp; Company and Bain Capital, rather than an identifiable listed or reporting entity named Bain Industries ([Bain &amp; Company](https://www.bain.com/about/); [Bain Capital](https://www.baincapital.com/)). Accordingly, no reliable dividend amounts, payment dates, payout ratios or distribution trend could be established from independent public sources.</w:t>
      </w:r>
    </w:p>
    <w:p>
      <w:pPr>
        <w:spacing w:after="120"/>
        <w:jc w:val="both"/>
      </w:pPr>
      <w:r>
        <w:rPr>
          <w:rFonts w:ascii="Arial" w:cs="Arial" w:eastAsia="Arial" w:hAnsi="Arial"/>
          <w:sz w:val="20"/>
          <w:szCs w:val="20"/>
        </w:rPr>
        <w:t xml:space="preserve">From a consistency perspective, the dividend record should therefore be assessed as </w:t>
      </w:r>
      <w:r>
        <w:rPr>
          <w:rFonts w:ascii="Arial" w:cs="Arial" w:eastAsia="Arial" w:hAnsi="Arial"/>
          <w:b/>
          <w:bCs/>
          <w:sz w:val="20"/>
          <w:szCs w:val="20"/>
        </w:rPr>
        <w:t xml:space="preserve">not verifiable based on external information</w:t>
      </w:r>
      <w:r>
        <w:rPr>
          <w:rFonts w:ascii="Arial" w:cs="Arial" w:eastAsia="Arial" w:hAnsi="Arial"/>
          <w:sz w:val="20"/>
          <w:szCs w:val="20"/>
        </w:rPr>
        <w:t xml:space="preserve">. It would not be appropriate to infer that dividends were paid regularly, maintained at a stable level, increased, or were suspended during the requested ten-year review period. The absence of publicly available data should not itself be interpreted as evidence of either weak or consistent dividend policy.</w:t>
      </w:r>
    </w:p>
    <w:p>
      <w:pPr>
        <w:spacing w:after="120"/>
        <w:jc w:val="both"/>
      </w:pPr>
      <w:r>
        <w:rPr>
          <w:rFonts w:ascii="Arial" w:cs="Arial" w:eastAsia="Arial" w:hAnsi="Arial"/>
          <w:sz w:val="20"/>
          <w:szCs w:val="20"/>
        </w:rPr>
        <w:t xml:space="preserve">For CAM purposes, the analysis should be completed using Bain Industries’ audited financial statements, shareholders’ resolutions, dividend declarations and bank payment evidence for the relevant years. Until these records are provided and reconciled, a ten-year dividend history chart cannot be prepared without introducing unsupported or potentially inaccurate figures.</w:t>
      </w:r>
    </w:p>
    <w:p>
      <w:pPr>
        <w:pStyle w:val="Heading1"/>
        <w:spacing w:after="120" w:before="240"/>
      </w:pPr>
      <w:r>
        <w:rPr>
          <w:rFonts w:ascii="Arial" w:cs="Arial" w:eastAsia="Arial" w:hAnsi="Arial"/>
          <w:b/>
          <w:bCs/>
          <w:color w:val="1F3864"/>
          <w:sz w:val="26"/>
          <w:szCs w:val="26"/>
        </w:rPr>
        <w:t xml:space="preserve">XII. Appendix</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Attachment</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Category</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Pages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Uploaded</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SIIL  Consol FS English Dec'2024.pdf</w:t>
            </w:r>
          </w:p>
        </w:tc>
        <w:tc>
          <w:tcPr>
            <w:tcMar>
              <w:top w:type="dxa" w:w="40"/>
              <w:left w:type="dxa" w:w="80"/>
              <w:bottom w:type="dxa" w:w="40"/>
              <w:right w:type="dxa" w:w="80"/>
            </w:tcMar>
          </w:tcPr>
          <w:p>
            <w:r>
              <w:rPr>
                <w:rFonts w:ascii="Arial" w:cs="Arial" w:eastAsia="Arial" w:hAnsi="Arial"/>
                <w:sz w:val="18"/>
                <w:szCs w:val="18"/>
              </w:rPr>
              <w:t xml:space="preserve">Audited FS</w:t>
            </w:r>
          </w:p>
        </w:tc>
        <w:tc>
          <w:tcPr>
            <w:tcMar>
              <w:top w:type="dxa" w:w="40"/>
              <w:left w:type="dxa" w:w="80"/>
              <w:bottom w:type="dxa" w:w="40"/>
              <w:right w:type="dxa" w:w="80"/>
            </w:tcMar>
          </w:tcPr>
          <w:p>
            <w:r>
              <w:rPr>
                <w:rFonts w:ascii="Arial" w:cs="Arial" w:eastAsia="Arial" w:hAnsi="Arial"/>
                <w:sz w:val="18"/>
                <w:szCs w:val="18"/>
              </w:rPr>
              <w:t xml:space="preserve">83</w:t>
            </w:r>
          </w:p>
        </w:tc>
        <w:tc>
          <w:tcPr>
            <w:tcMar>
              <w:top w:type="dxa" w:w="40"/>
              <w:left w:type="dxa" w:w="80"/>
              <w:bottom w:type="dxa" w:w="40"/>
              <w:right w:type="dxa" w:w="80"/>
            </w:tcMar>
          </w:tcPr>
          <w:p>
            <w:r>
              <w:rPr>
                <w:rFonts w:ascii="Arial" w:cs="Arial" w:eastAsia="Arial" w:hAnsi="Arial"/>
                <w:sz w:val="18"/>
                <w:szCs w:val="18"/>
              </w:rPr>
              <w:t xml:space="preserve">08 Sept 2026</w:t>
            </w:r>
          </w:p>
        </w:tc>
      </w:tr>
      <w:tr>
        <w:tc>
          <w:tcPr>
            <w:tcMar>
              <w:top w:type="dxa" w:w="40"/>
              <w:left w:type="dxa" w:w="80"/>
              <w:bottom w:type="dxa" w:w="40"/>
              <w:right w:type="dxa" w:w="80"/>
            </w:tcMar>
          </w:tcPr>
          <w:p>
            <w:r>
              <w:rPr>
                <w:rFonts w:ascii="Arial" w:cs="Arial" w:eastAsia="Arial" w:hAnsi="Arial"/>
                <w:sz w:val="18"/>
                <w:szCs w:val="18"/>
              </w:rPr>
              <w:t xml:space="preserve">2</w:t>
            </w:r>
          </w:p>
        </w:tc>
        <w:tc>
          <w:tcPr>
            <w:tcMar>
              <w:top w:type="dxa" w:w="40"/>
              <w:left w:type="dxa" w:w="80"/>
              <w:bottom w:type="dxa" w:w="40"/>
              <w:right w:type="dxa" w:w="80"/>
            </w:tcMar>
          </w:tcPr>
          <w:p>
            <w:r>
              <w:rPr>
                <w:rFonts w:ascii="Arial" w:cs="Arial" w:eastAsia="Arial" w:hAnsi="Arial"/>
                <w:sz w:val="18"/>
                <w:szCs w:val="18"/>
              </w:rPr>
              <w:t xml:space="preserve">EN SALAM.pdf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08 Sept 2026</w:t>
            </w:r>
          </w:p>
        </w:tc>
      </w:tr>
      <w:tr>
        <w:tc>
          <w:tcPr>
            <w:tcMar>
              <w:top w:type="dxa" w:w="40"/>
              <w:left w:type="dxa" w:w="80"/>
              <w:bottom w:type="dxa" w:w="40"/>
              <w:right w:type="dxa" w:w="80"/>
            </w:tcMar>
          </w:tcPr>
          <w:p>
            <w:r>
              <w:rPr>
                <w:rFonts w:ascii="Arial" w:cs="Arial" w:eastAsia="Arial" w:hAnsi="Arial"/>
                <w:sz w:val="18"/>
                <w:szCs w:val="18"/>
              </w:rPr>
              <w:t xml:space="preserve">3</w:t>
            </w:r>
          </w:p>
        </w:tc>
        <w:tc>
          <w:tcPr>
            <w:tcMar>
              <w:top w:type="dxa" w:w="40"/>
              <w:left w:type="dxa" w:w="80"/>
              <w:bottom w:type="dxa" w:w="40"/>
              <w:right w:type="dxa" w:w="80"/>
            </w:tcMar>
          </w:tcPr>
          <w:p>
            <w:r>
              <w:rPr>
                <w:rFonts w:ascii="Arial" w:cs="Arial" w:eastAsia="Arial" w:hAnsi="Arial"/>
                <w:sz w:val="18"/>
                <w:szCs w:val="18"/>
              </w:rPr>
              <w:t xml:space="preserve">SIIL Group FS -EN 30 June 2025.pdf</w:t>
            </w:r>
          </w:p>
        </w:tc>
        <w:tc>
          <w:tcPr>
            <w:tcMar>
              <w:top w:type="dxa" w:w="40"/>
              <w:left w:type="dxa" w:w="80"/>
              <w:bottom w:type="dxa" w:w="40"/>
              <w:right w:type="dxa" w:w="80"/>
            </w:tcMar>
          </w:tcPr>
          <w:p>
            <w:r>
              <w:rPr>
                <w:rFonts w:ascii="Arial" w:cs="Arial" w:eastAsia="Arial" w:hAnsi="Arial"/>
                <w:sz w:val="18"/>
                <w:szCs w:val="18"/>
              </w:rPr>
              <w:t xml:space="preserve">Audited FS</w:t>
            </w:r>
          </w:p>
        </w:tc>
        <w:tc>
          <w:tcPr>
            <w:tcMar>
              <w:top w:type="dxa" w:w="40"/>
              <w:left w:type="dxa" w:w="80"/>
              <w:bottom w:type="dxa" w:w="40"/>
              <w:right w:type="dxa" w:w="80"/>
            </w:tcMar>
          </w:tcPr>
          <w:p>
            <w:r>
              <w:rPr>
                <w:rFonts w:ascii="Arial" w:cs="Arial" w:eastAsia="Arial" w:hAnsi="Arial"/>
                <w:sz w:val="18"/>
                <w:szCs w:val="18"/>
              </w:rPr>
              <w:t xml:space="preserve">29</w:t>
            </w:r>
          </w:p>
        </w:tc>
        <w:tc>
          <w:tcPr>
            <w:tcMar>
              <w:top w:type="dxa" w:w="40"/>
              <w:left w:type="dxa" w:w="80"/>
              <w:bottom w:type="dxa" w:w="40"/>
              <w:right w:type="dxa" w:w="80"/>
            </w:tcMar>
          </w:tcPr>
          <w:p>
            <w:r>
              <w:rPr>
                <w:rFonts w:ascii="Arial" w:cs="Arial" w:eastAsia="Arial" w:hAnsi="Arial"/>
                <w:sz w:val="18"/>
                <w:szCs w:val="18"/>
              </w:rPr>
              <w:t xml:space="preserve">08 Sept 2026</w:t>
            </w:r>
          </w:p>
        </w:tc>
      </w:tr>
      <w:tr>
        <w:tc>
          <w:tcPr>
            <w:tcMar>
              <w:top w:type="dxa" w:w="40"/>
              <w:left w:type="dxa" w:w="80"/>
              <w:bottom w:type="dxa" w:w="40"/>
              <w:right w:type="dxa" w:w="80"/>
            </w:tcMar>
          </w:tcPr>
          <w:p>
            <w:r>
              <w:rPr>
                <w:rFonts w:ascii="Arial" w:cs="Arial" w:eastAsia="Arial" w:hAnsi="Arial"/>
                <w:sz w:val="18"/>
                <w:szCs w:val="18"/>
              </w:rPr>
              <w:t xml:space="preserve">4</w:t>
            </w:r>
          </w:p>
        </w:tc>
        <w:tc>
          <w:tcPr>
            <w:tcMar>
              <w:top w:type="dxa" w:w="40"/>
              <w:left w:type="dxa" w:w="80"/>
              <w:bottom w:type="dxa" w:w="40"/>
              <w:right w:type="dxa" w:w="80"/>
            </w:tcMar>
          </w:tcPr>
          <w:p>
            <w:r>
              <w:rPr>
                <w:rFonts w:ascii="Arial" w:cs="Arial" w:eastAsia="Arial" w:hAnsi="Arial"/>
                <w:sz w:val="18"/>
                <w:szCs w:val="18"/>
              </w:rPr>
              <w:t xml:space="preserve">SIIL Console FS 2025_EN_Signed.pdf</w:t>
            </w:r>
          </w:p>
        </w:tc>
        <w:tc>
          <w:tcPr>
            <w:tcMar>
              <w:top w:type="dxa" w:w="40"/>
              <w:left w:type="dxa" w:w="80"/>
              <w:bottom w:type="dxa" w:w="40"/>
              <w:right w:type="dxa" w:w="80"/>
            </w:tcMar>
          </w:tcPr>
          <w:p>
            <w:r>
              <w:rPr>
                <w:rFonts w:ascii="Arial" w:cs="Arial" w:eastAsia="Arial" w:hAnsi="Arial"/>
                <w:sz w:val="18"/>
                <w:szCs w:val="18"/>
              </w:rPr>
              <w:t xml:space="preserve">Audited FS</w:t>
            </w:r>
          </w:p>
        </w:tc>
        <w:tc>
          <w:tcPr>
            <w:tcMar>
              <w:top w:type="dxa" w:w="40"/>
              <w:left w:type="dxa" w:w="80"/>
              <w:bottom w:type="dxa" w:w="40"/>
              <w:right w:type="dxa" w:w="80"/>
            </w:tcMar>
          </w:tcPr>
          <w:p>
            <w:r>
              <w:rPr>
                <w:rFonts w:ascii="Arial" w:cs="Arial" w:eastAsia="Arial" w:hAnsi="Arial"/>
                <w:sz w:val="18"/>
                <w:szCs w:val="18"/>
              </w:rPr>
              <w:t xml:space="preserve">84</w:t>
            </w:r>
          </w:p>
        </w:tc>
        <w:tc>
          <w:tcPr>
            <w:tcMar>
              <w:top w:type="dxa" w:w="40"/>
              <w:left w:type="dxa" w:w="80"/>
              <w:bottom w:type="dxa" w:w="40"/>
              <w:right w:type="dxa" w:w="80"/>
            </w:tcMar>
          </w:tcPr>
          <w:p>
            <w:r>
              <w:rPr>
                <w:rFonts w:ascii="Arial" w:cs="Arial" w:eastAsia="Arial" w:hAnsi="Arial"/>
                <w:sz w:val="18"/>
                <w:szCs w:val="18"/>
              </w:rPr>
              <w:t xml:space="preserve">08 Sept 2026</w:t>
            </w:r>
          </w:p>
        </w:tc>
      </w:tr>
      <w:tr>
        <w:tc>
          <w:tcPr>
            <w:tcMar>
              <w:top w:type="dxa" w:w="40"/>
              <w:left w:type="dxa" w:w="80"/>
              <w:bottom w:type="dxa" w:w="40"/>
              <w:right w:type="dxa" w:w="80"/>
            </w:tcMar>
          </w:tcPr>
          <w:p>
            <w:r>
              <w:rPr>
                <w:rFonts w:ascii="Arial" w:cs="Arial" w:eastAsia="Arial" w:hAnsi="Arial"/>
                <w:sz w:val="18"/>
                <w:szCs w:val="18"/>
              </w:rPr>
              <w:t xml:space="preserve">5</w:t>
            </w:r>
          </w:p>
        </w:tc>
        <w:tc>
          <w:tcPr>
            <w:tcMar>
              <w:top w:type="dxa" w:w="40"/>
              <w:left w:type="dxa" w:w="80"/>
              <w:bottom w:type="dxa" w:w="40"/>
              <w:right w:type="dxa" w:w="80"/>
            </w:tcMar>
          </w:tcPr>
          <w:p>
            <w:r>
              <w:rPr>
                <w:rFonts w:ascii="Arial" w:cs="Arial" w:eastAsia="Arial" w:hAnsi="Arial"/>
                <w:sz w:val="18"/>
                <w:szCs w:val="18"/>
              </w:rPr>
              <w:t xml:space="preserve">SIIL FS March English 2025.pdf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08 Sept 2026</w:t>
            </w:r>
          </w:p>
        </w:tc>
      </w:tr>
      <w:tr>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SIIL FS Q1-2026 English.pdf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30</w:t>
            </w:r>
          </w:p>
        </w:tc>
        <w:tc>
          <w:tcPr>
            <w:tcMar>
              <w:top w:type="dxa" w:w="40"/>
              <w:left w:type="dxa" w:w="80"/>
              <w:bottom w:type="dxa" w:w="40"/>
              <w:right w:type="dxa" w:w="80"/>
            </w:tcMar>
          </w:tcPr>
          <w:p>
            <w:r>
              <w:rPr>
                <w:rFonts w:ascii="Arial" w:cs="Arial" w:eastAsia="Arial" w:hAnsi="Arial"/>
                <w:sz w:val="18"/>
                <w:szCs w:val="18"/>
              </w:rPr>
              <w:t xml:space="preserve">08 Sept 2026</w:t>
            </w:r>
          </w:p>
        </w:tc>
      </w:tr>
      <w:tr>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SIIL English FS Sep 2025.pdf</w:t>
            </w:r>
          </w:p>
        </w:tc>
        <w:tc>
          <w:tcPr>
            <w:tcMar>
              <w:top w:type="dxa" w:w="40"/>
              <w:left w:type="dxa" w:w="80"/>
              <w:bottom w:type="dxa" w:w="40"/>
              <w:right w:type="dxa" w:w="80"/>
            </w:tcMar>
          </w:tcPr>
          <w:p>
            <w:r>
              <w:rPr>
                <w:rFonts w:ascii="Arial" w:cs="Arial" w:eastAsia="Arial" w:hAnsi="Arial"/>
                <w:sz w:val="18"/>
                <w:szCs w:val="18"/>
              </w:rPr>
              <w:t xml:space="preserve">Mgmt accounts</w:t>
            </w:r>
          </w:p>
        </w:tc>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08 Sept 2026</w:t>
            </w:r>
          </w:p>
        </w:tc>
      </w:tr>
    </w:tbl>
    <w:p>
      <w:pPr>
        <w:spacing w:after="120"/>
      </w:pPr>
      <w:r>
        <w:rPr>
          <w:rFonts w:ascii="Arial" w:cs="Arial" w:eastAsia="Arial" w:hAnsi="Arial"/>
          <w:sz w:val="20"/>
          <w:szCs w:val="20"/>
        </w:rPr>
        <w:t xml:space="preserve"/>
      </w:r>
    </w:p>
    <w:p>
      <w:pPr>
        <w:spacing w:after="120"/>
      </w:pPr>
      <w:r>
        <w:rPr>
          <w:rFonts w:ascii="Arial" w:cs="Arial" w:eastAsia="Arial" w:hAnsi="Arial"/>
          <w:i/>
          <w:iCs/>
          <w:color w:val="808080"/>
          <w:sz w:val="16"/>
          <w:szCs w:val="16"/>
        </w:rPr>
        <w:t xml:space="preserve">Generated by the CAM Portal on 01 Nov 2026 01:45 — stage 6: Committee Approval.</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0"/>
      <w:jc w:val="center"/>
    </w:pPr>
    <w:r>
      <w:rPr>
        <w:rFonts w:ascii="Arial" w:cs="Arial" w:eastAsia="Arial" w:hAnsi="Arial"/>
        <w:color w:val="808080"/>
        <w:sz w:val="16"/>
        <w:szCs w:val="16"/>
      </w:rPr>
      <w:t xml:space="preserve">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right"/>
    </w:pPr>
    <w:r>
      <w:rPr>
        <w:rFonts w:ascii="Arial" w:cs="Arial" w:eastAsia="Arial" w:hAnsi="Arial"/>
        <w:color w:val="808080"/>
        <w:sz w:val="16"/>
        <w:szCs w:val="16"/>
      </w:rPr>
      <w:t xml:space="preserve">Ahlibank Q.P.S.C. — Credit Appraisal Memorandum — CAM-0005/2026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 CAM-0005/2026</dc:title>
  <dc:creator>CAM Portal</dc:creator>
  <cp:lastModifiedBy>Un-named</cp:lastModifiedBy>
  <cp:revision>1</cp:revision>
  <dcterms:created xsi:type="dcterms:W3CDTF">2026-10-31T22:45:51.680Z</dcterms:created>
  <dcterms:modified xsi:type="dcterms:W3CDTF">2026-10-31T22:45:51.680Z</dcterms:modified>
</cp:coreProperties>
</file>

<file path=docProps/custom.xml><?xml version="1.0" encoding="utf-8"?>
<Properties xmlns="http://schemas.openxmlformats.org/officeDocument/2006/custom-properties" xmlns:vt="http://schemas.openxmlformats.org/officeDocument/2006/docPropsVTypes"/>
</file>