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8"/>
          <w:szCs w:val="28"/>
        </w:rPr>
        <w:t xml:space="preserve">Ahlibank Q.P.S.C.</w:t>
      </w:r>
    </w:p>
    <w:p>
      <w:pPr>
        <w:spacing w:after="120"/>
        <w:jc w:val="center"/>
      </w:pPr>
      <w:r>
        <w:rPr>
          <w:rFonts w:ascii="Arial" w:cs="Arial" w:eastAsia="Arial" w:hAnsi="Arial"/>
          <w:b/>
          <w:bCs/>
          <w:sz w:val="32"/>
          <w:szCs w:val="32"/>
        </w:rPr>
        <w:t xml:space="preserve">Credit Appraisal Memorandum</w:t>
      </w:r>
    </w:p>
    <w:p>
      <w:pPr>
        <w:spacing w:after="240"/>
        <w:jc w:val="center"/>
      </w:pPr>
      <w:r>
        <w:rPr>
          <w:rFonts w:ascii="Arial" w:cs="Arial" w:eastAsia="Arial" w:hAnsi="Arial"/>
          <w:sz w:val="22"/>
          <w:szCs w:val="22"/>
        </w:rPr>
        <w:t xml:space="preserve">Private Banking &amp; Wealth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Date</w:t>
            </w:r>
          </w:p>
        </w:tc>
        <w:tc>
          <w:tcPr>
            <w:tcW w:type="pct" w:w="70%"/>
            <w:tcMar>
              <w:top w:type="dxa" w:w="40"/>
              <w:left w:type="dxa" w:w="80"/>
              <w:bottom w:type="dxa" w:w="40"/>
              <w:right w:type="dxa" w:w="80"/>
            </w:tcMar>
          </w:tcPr>
          <w:p>
            <w:r>
              <w:rPr>
                <w:rFonts w:ascii="Arial" w:cs="Arial" w:eastAsia="Arial" w:hAnsi="Arial"/>
                <w:sz w:val="18"/>
                <w:szCs w:val="18"/>
              </w:rPr>
              <w:t xml:space="preserve">15 Sept 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Ref No.</w:t>
            </w:r>
          </w:p>
        </w:tc>
        <w:tc>
          <w:tcPr>
            <w:tcW w:type="pct" w:w="70%"/>
            <w:tcMar>
              <w:top w:type="dxa" w:w="40"/>
              <w:left w:type="dxa" w:w="80"/>
              <w:bottom w:type="dxa" w:w="40"/>
              <w:right w:type="dxa" w:w="80"/>
            </w:tcMar>
          </w:tcPr>
          <w:p>
            <w:r>
              <w:rPr>
                <w:rFonts w:ascii="Arial" w:cs="Arial" w:eastAsia="Arial" w:hAnsi="Arial"/>
                <w:sz w:val="18"/>
                <w:szCs w:val="18"/>
              </w:rPr>
              <w:t xml:space="preserve">CAM-0007/2026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Client Name</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 (to be opened)</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Related to Group</w:t>
            </w:r>
          </w:p>
        </w:tc>
        <w:tc>
          <w:tcPr>
            <w:tcW w:type="pct" w:w="70%"/>
            <w:tcMar>
              <w:top w:type="dxa" w:w="40"/>
              <w:left w:type="dxa" w:w="80"/>
              <w:bottom w:type="dxa" w:w="40"/>
              <w:right w:type="dxa" w:w="80"/>
            </w:tcMar>
          </w:tcPr>
          <w:p>
            <w:r>
              <w:rPr>
                <w:rFonts w:ascii="Arial" w:cs="Arial" w:eastAsia="Arial" w:hAnsi="Arial"/>
                <w:sz w:val="18"/>
                <w:szCs w:val="18"/>
              </w:rPr>
              <w:t xml:space="preserve">Salam Holdings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Construct a new facility for Consumers.</w:t>
            </w:r>
          </w:p>
        </w:tc>
      </w:tr>
    </w:tbl>
    <w:p>
      <w:r>
        <w:br w:type="page"/>
      </w:r>
    </w:p>
    <w:p>
      <w:pPr>
        <w:pStyle w:val="Heading1"/>
        <w:spacing w:after="120" w:before="240"/>
      </w:pPr>
      <w:r>
        <w:rPr>
          <w:rFonts w:ascii="Arial" w:cs="Arial" w:eastAsia="Arial" w:hAnsi="Arial"/>
          <w:b/>
          <w:bCs/>
          <w:color w:val="1F3864"/>
          <w:sz w:val="26"/>
          <w:szCs w:val="26"/>
        </w:rPr>
        <w:t xml:space="preserve">Tracking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Unit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Name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Out-Date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Action / Signature</w:t>
            </w:r>
          </w:p>
        </w:tc>
      </w:tr>
      <w:tr>
        <w:tc>
          <w:tcPr>
            <w:tcMar>
              <w:top w:type="dxa" w:w="40"/>
              <w:left w:type="dxa" w:w="80"/>
              <w:bottom w:type="dxa" w:w="40"/>
              <w:right w:type="dxa" w:w="80"/>
            </w:tcMar>
          </w:tcPr>
          <w:p>
            <w:r>
              <w:rPr>
                <w:rFonts w:ascii="Arial" w:cs="Arial" w:eastAsia="Arial" w:hAnsi="Arial"/>
                <w:sz w:val="18"/>
                <w:szCs w:val="18"/>
              </w:rPr>
              <w:t xml:space="preserve">Relationship Manager (Business Unit)</w:t>
            </w:r>
          </w:p>
        </w:tc>
        <w:tc>
          <w:tcPr>
            <w:tcMar>
              <w:top w:type="dxa" w:w="40"/>
              <w:left w:type="dxa" w:w="80"/>
              <w:bottom w:type="dxa" w:w="40"/>
              <w:right w:type="dxa" w:w="80"/>
            </w:tcMar>
          </w:tcPr>
          <w:p>
            <w:r>
              <w:rPr>
                <w:rFonts w:ascii="Arial" w:cs="Arial" w:eastAsia="Arial" w:hAnsi="Arial"/>
                <w:sz w:val="18"/>
                <w:szCs w:val="18"/>
              </w:rPr>
              <w:t xml:space="preserve">Person 6</w:t>
            </w:r>
          </w:p>
        </w:tc>
        <w:tc>
          <w:tcPr>
            <w:tcMar>
              <w:top w:type="dxa" w:w="40"/>
              <w:left w:type="dxa" w:w="80"/>
              <w:bottom w:type="dxa" w:w="40"/>
              <w:right w:type="dxa" w:w="80"/>
            </w:tcMar>
          </w:tcPr>
          <w:p>
            <w:r>
              <w:rPr>
                <w:rFonts w:ascii="Arial" w:cs="Arial" w:eastAsia="Arial" w:hAnsi="Arial"/>
                <w:sz w:val="18"/>
                <w:szCs w:val="18"/>
              </w:rPr>
              <w:t xml:space="preserve">15 Sept 2026 08:34</w:t>
            </w:r>
          </w:p>
        </w:tc>
        <w:tc>
          <w:tcPr>
            <w:tcMar>
              <w:top w:type="dxa" w:w="40"/>
              <w:left w:type="dxa" w:w="80"/>
              <w:bottom w:type="dxa" w:w="40"/>
              <w:right w:type="dxa" w:w="80"/>
            </w:tcMar>
          </w:tcPr>
          <w:p>
            <w:r>
              <w:rPr>
                <w:rFonts w:ascii="Arial" w:cs="Arial" w:eastAsia="Arial" w:hAnsi="Arial"/>
                <w:sz w:val="18"/>
                <w:szCs w:val="18"/>
              </w:rPr>
              <w:t xml:space="preserve">submit → CAM Preparation — سینکشنز کا سیکشن رہ گیا ہے ہم نے اپلیکیشن بھیجی ہوئی ہے اور کچھ دنوں میں جواب آ جائے گا</w:t>
            </w:r>
          </w:p>
        </w:tc>
      </w:tr>
      <w:tr>
        <w:tc>
          <w:tcPr>
            <w:tcMar>
              <w:top w:type="dxa" w:w="40"/>
              <w:left w:type="dxa" w:w="80"/>
              <w:bottom w:type="dxa" w:w="40"/>
              <w:right w:type="dxa" w:w="80"/>
            </w:tcMar>
          </w:tcPr>
          <w:p>
            <w:r>
              <w:rPr>
                <w:rFonts w:ascii="Arial" w:cs="Arial" w:eastAsia="Arial" w:hAnsi="Arial"/>
                <w:sz w:val="18"/>
                <w:szCs w:val="18"/>
              </w:rPr>
              <w:t xml:space="preserve">Business Unit analyst (Preparer)</w:t>
            </w:r>
          </w:p>
        </w:tc>
        <w:tc>
          <w:tcPr>
            <w:tcMar>
              <w:top w:type="dxa" w:w="40"/>
              <w:left w:type="dxa" w:w="80"/>
              <w:bottom w:type="dxa" w:w="40"/>
              <w:right w:type="dxa" w:w="80"/>
            </w:tcMar>
          </w:tcPr>
          <w:p>
            <w:r>
              <w:rPr>
                <w:rFonts w:ascii="Arial" w:cs="Arial" w:eastAsia="Arial" w:hAnsi="Arial"/>
                <w:sz w:val="18"/>
                <w:szCs w:val="18"/>
              </w:rPr>
              <w:t xml:space="preserve">Person 6</w:t>
            </w:r>
          </w:p>
        </w:tc>
        <w:tc>
          <w:tcPr>
            <w:tcMar>
              <w:top w:type="dxa" w:w="40"/>
              <w:left w:type="dxa" w:w="80"/>
              <w:bottom w:type="dxa" w:w="40"/>
              <w:right w:type="dxa" w:w="80"/>
            </w:tcMar>
          </w:tcPr>
          <w:p>
            <w:r>
              <w:rPr>
                <w:rFonts w:ascii="Arial" w:cs="Arial" w:eastAsia="Arial" w:hAnsi="Arial"/>
                <w:sz w:val="18"/>
                <w:szCs w:val="18"/>
              </w:rPr>
              <w:t xml:space="preserve">15 Sept 2026 08:50</w:t>
            </w:r>
          </w:p>
        </w:tc>
        <w:tc>
          <w:tcPr>
            <w:tcMar>
              <w:top w:type="dxa" w:w="40"/>
              <w:left w:type="dxa" w:w="80"/>
              <w:bottom w:type="dxa" w:w="40"/>
              <w:right w:type="dxa" w:w="80"/>
            </w:tcMar>
          </w:tcPr>
          <w:p>
            <w:r>
              <w:rPr>
                <w:rFonts w:ascii="Arial" w:cs="Arial" w:eastAsia="Arial" w:hAnsi="Arial"/>
                <w:sz w:val="18"/>
                <w:szCs w:val="18"/>
              </w:rPr>
              <w:t xml:space="preserve">submit → Business Sign-off</w:t>
            </w:r>
          </w:p>
        </w:tc>
      </w:tr>
      <w:tr>
        <w:tc>
          <w:tcPr>
            <w:tcMar>
              <w:top w:type="dxa" w:w="40"/>
              <w:left w:type="dxa" w:w="80"/>
              <w:bottom w:type="dxa" w:w="40"/>
              <w:right w:type="dxa" w:w="80"/>
            </w:tcMar>
          </w:tcPr>
          <w:p>
            <w:r>
              <w:rPr>
                <w:rFonts w:ascii="Arial" w:cs="Arial" w:eastAsia="Arial" w:hAnsi="Arial"/>
                <w:sz w:val="18"/>
                <w:szCs w:val="18"/>
              </w:rPr>
              <w:t xml:space="preserve">BU management (Recommender → Concurrer)</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08:51</w:t>
            </w:r>
          </w:p>
        </w:tc>
        <w:tc>
          <w:tcPr>
            <w:tcMar>
              <w:top w:type="dxa" w:w="40"/>
              <w:left w:type="dxa" w:w="80"/>
              <w:bottom w:type="dxa" w:w="40"/>
              <w:right w:type="dxa" w:w="80"/>
            </w:tcMar>
          </w:tcPr>
          <w:p>
            <w:r>
              <w:rPr>
                <w:rFonts w:ascii="Arial" w:cs="Arial" w:eastAsia="Arial" w:hAnsi="Arial"/>
                <w:sz w:val="18"/>
                <w:szCs w:val="18"/>
              </w:rPr>
              <w:t xml:space="preserve">pass → Credit Admin Control</w:t>
            </w:r>
          </w:p>
        </w:tc>
      </w:tr>
      <w:tr>
        <w:tc>
          <w:tcPr>
            <w:tcMar>
              <w:top w:type="dxa" w:w="40"/>
              <w:left w:type="dxa" w:w="80"/>
              <w:bottom w:type="dxa" w:w="40"/>
              <w:right w:type="dxa" w:w="80"/>
            </w:tcMar>
          </w:tcPr>
          <w:p>
            <w:r>
              <w:rPr>
                <w:rFonts w:ascii="Arial" w:cs="Arial" w:eastAsia="Arial" w:hAnsi="Arial"/>
                <w:sz w:val="18"/>
                <w:szCs w:val="18"/>
              </w:rPr>
              <w:t xml:space="preserve">Corporate Credit Administration</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08:53</w:t>
            </w:r>
          </w:p>
        </w:tc>
        <w:tc>
          <w:tcPr>
            <w:tcMar>
              <w:top w:type="dxa" w:w="40"/>
              <w:left w:type="dxa" w:w="80"/>
              <w:bottom w:type="dxa" w:w="40"/>
              <w:right w:type="dxa" w:w="80"/>
            </w:tcMar>
          </w:tcPr>
          <w:p>
            <w:r>
              <w:rPr>
                <w:rFonts w:ascii="Arial" w:cs="Arial" w:eastAsia="Arial" w:hAnsi="Arial"/>
                <w:sz w:val="18"/>
                <w:szCs w:val="18"/>
              </w:rPr>
              <w:t xml:space="preserve">pass → Independent Risk Review</w:t>
            </w:r>
          </w:p>
        </w:tc>
      </w:tr>
      <w:tr>
        <w:tc>
          <w:tcPr>
            <w:tcMar>
              <w:top w:type="dxa" w:w="40"/>
              <w:left w:type="dxa" w:w="80"/>
              <w:bottom w:type="dxa" w:w="40"/>
              <w:right w:type="dxa" w:w="80"/>
            </w:tcMar>
          </w:tcPr>
          <w:p>
            <w:r>
              <w:rPr>
                <w:rFonts w:ascii="Arial" w:cs="Arial" w:eastAsia="Arial" w:hAnsi="Arial"/>
                <w:sz w:val="18"/>
                <w:szCs w:val="18"/>
              </w:rPr>
              <w:t xml:space="preserve">Risk Management</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08:54</w:t>
            </w:r>
          </w:p>
        </w:tc>
        <w:tc>
          <w:tcPr>
            <w:tcMar>
              <w:top w:type="dxa" w:w="40"/>
              <w:left w:type="dxa" w:w="80"/>
              <w:bottom w:type="dxa" w:w="40"/>
              <w:right w:type="dxa" w:w="80"/>
            </w:tcMar>
          </w:tcPr>
          <w:p>
            <w:r>
              <w:rPr>
                <w:rFonts w:ascii="Arial" w:cs="Arial" w:eastAsia="Arial" w:hAnsi="Arial"/>
                <w:sz w:val="18"/>
                <w:szCs w:val="18"/>
              </w:rPr>
              <w:t xml:space="preserve">pass → Committee Approval — [GATE OVERRIDE] forced past 1 blocker(s) by Person 7 — Risk Management must validate or override the risk rating</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08:56</w:t>
            </w:r>
          </w:p>
        </w:tc>
        <w:tc>
          <w:tcPr>
            <w:tcMar>
              <w:top w:type="dxa" w:w="40"/>
              <w:left w:type="dxa" w:w="80"/>
              <w:bottom w:type="dxa" w:w="40"/>
              <w:right w:type="dxa" w:w="80"/>
            </w:tcMar>
          </w:tcPr>
          <w:p>
            <w:r>
              <w:rPr>
                <w:rFonts w:ascii="Arial" w:cs="Arial" w:eastAsia="Arial" w:hAnsi="Arial"/>
                <w:sz w:val="18"/>
                <w:szCs w:val="18"/>
              </w:rPr>
              <w:t xml:space="preserve">approve → Committee Approval</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08:56</w:t>
            </w:r>
          </w:p>
        </w:tc>
        <w:tc>
          <w:tcPr>
            <w:tcMar>
              <w:top w:type="dxa" w:w="40"/>
              <w:left w:type="dxa" w:w="80"/>
              <w:bottom w:type="dxa" w:w="40"/>
              <w:right w:type="dxa" w:w="80"/>
            </w:tcMar>
          </w:tcPr>
          <w:p>
            <w:r>
              <w:rPr>
                <w:rFonts w:ascii="Arial" w:cs="Arial" w:eastAsia="Arial" w:hAnsi="Arial"/>
                <w:sz w:val="18"/>
                <w:szCs w:val="18"/>
              </w:rPr>
              <w:t xml:space="preserve">approve → Regulatory Approvals</w:t>
            </w:r>
          </w:p>
        </w:tc>
      </w:tr>
      <w:tr>
        <w:tc>
          <w:tcPr>
            <w:tcMar>
              <w:top w:type="dxa" w:w="40"/>
              <w:left w:type="dxa" w:w="80"/>
              <w:bottom w:type="dxa" w:w="40"/>
              <w:right w:type="dxa" w:w="80"/>
            </w:tcMar>
          </w:tcPr>
          <w:p>
            <w:r>
              <w:rPr>
                <w:rFonts w:ascii="Arial" w:cs="Arial" w:eastAsia="Arial" w:hAnsi="Arial"/>
                <w:sz w:val="18"/>
                <w:szCs w:val="18"/>
              </w:rPr>
              <w:t xml:space="preserve">Business Unit / Compliance</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08:56</w:t>
            </w:r>
          </w:p>
        </w:tc>
        <w:tc>
          <w:tcPr>
            <w:tcMar>
              <w:top w:type="dxa" w:w="40"/>
              <w:left w:type="dxa" w:w="80"/>
              <w:bottom w:type="dxa" w:w="40"/>
              <w:right w:type="dxa" w:w="80"/>
            </w:tcMar>
          </w:tcPr>
          <w:p>
            <w:r>
              <w:rPr>
                <w:rFonts w:ascii="Arial" w:cs="Arial" w:eastAsia="Arial" w:hAnsi="Arial"/>
                <w:sz w:val="18"/>
                <w:szCs w:val="18"/>
              </w:rPr>
              <w:t xml:space="preserve">pass → Documentation &amp; CPs</w:t>
            </w:r>
          </w:p>
        </w:tc>
      </w:tr>
      <w:tr>
        <w:tc>
          <w:tcPr>
            <w:tcMar>
              <w:top w:type="dxa" w:w="40"/>
              <w:left w:type="dxa" w:w="80"/>
              <w:bottom w:type="dxa" w:w="40"/>
              <w:right w:type="dxa" w:w="80"/>
            </w:tcMar>
          </w:tcPr>
          <w:p>
            <w:r>
              <w:rPr>
                <w:rFonts w:ascii="Arial" w:cs="Arial" w:eastAsia="Arial" w:hAnsi="Arial"/>
                <w:sz w:val="18"/>
                <w:szCs w:val="18"/>
              </w:rPr>
              <w:t xml:space="preserve">Legal / Credit Administration</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08:57</w:t>
            </w:r>
          </w:p>
        </w:tc>
        <w:tc>
          <w:tcPr>
            <w:tcMar>
              <w:top w:type="dxa" w:w="40"/>
              <w:left w:type="dxa" w:w="80"/>
              <w:bottom w:type="dxa" w:w="40"/>
              <w:right w:type="dxa" w:w="80"/>
            </w:tcMar>
          </w:tcPr>
          <w:p>
            <w:r>
              <w:rPr>
                <w:rFonts w:ascii="Arial" w:cs="Arial" w:eastAsia="Arial" w:hAnsi="Arial"/>
                <w:sz w:val="18"/>
                <w:szCs w:val="18"/>
              </w:rPr>
              <w:t xml:space="preserve">pass → Disbursement</w:t>
            </w:r>
          </w:p>
        </w:tc>
      </w:tr>
      <w:tr>
        <w:tc>
          <w:tcPr>
            <w:tcMar>
              <w:top w:type="dxa" w:w="40"/>
              <w:left w:type="dxa" w:w="80"/>
              <w:bottom w:type="dxa" w:w="40"/>
              <w:right w:type="dxa" w:w="80"/>
            </w:tcMar>
          </w:tcPr>
          <w:p>
            <w:r>
              <w:rPr>
                <w:rFonts w:ascii="Arial" w:cs="Arial" w:eastAsia="Arial" w:hAnsi="Arial"/>
                <w:sz w:val="18"/>
                <w:szCs w:val="18"/>
              </w:rPr>
              <w:t xml:space="preserve">Operations</w:t>
            </w:r>
          </w:p>
        </w:tc>
        <w:tc>
          <w:tcPr>
            <w:tcMar>
              <w:top w:type="dxa" w:w="40"/>
              <w:left w:type="dxa" w:w="80"/>
              <w:bottom w:type="dxa" w:w="40"/>
              <w:right w:type="dxa" w:w="80"/>
            </w:tcMar>
          </w:tcPr>
          <w:p>
            <w:r>
              <w:rPr>
                <w:rFonts w:ascii="Arial" w:cs="Arial" w:eastAsia="Arial" w:hAnsi="Arial"/>
                <w:sz w:val="18"/>
                <w:szCs w:val="18"/>
              </w:rPr>
              <w:t xml:space="preserve">Person 7</w:t>
            </w:r>
          </w:p>
        </w:tc>
        <w:tc>
          <w:tcPr>
            <w:tcMar>
              <w:top w:type="dxa" w:w="40"/>
              <w:left w:type="dxa" w:w="80"/>
              <w:bottom w:type="dxa" w:w="40"/>
              <w:right w:type="dxa" w:w="80"/>
            </w:tcMar>
          </w:tcPr>
          <w:p>
            <w:r>
              <w:rPr>
                <w:rFonts w:ascii="Arial" w:cs="Arial" w:eastAsia="Arial" w:hAnsi="Arial"/>
                <w:sz w:val="18"/>
                <w:szCs w:val="18"/>
              </w:rPr>
              <w:t xml:space="preserve">15 Sept 2026 08:58</w:t>
            </w:r>
          </w:p>
        </w:tc>
        <w:tc>
          <w:tcPr>
            <w:tcMar>
              <w:top w:type="dxa" w:w="40"/>
              <w:left w:type="dxa" w:w="80"/>
              <w:bottom w:type="dxa" w:w="40"/>
              <w:right w:type="dxa" w:w="80"/>
            </w:tcMar>
          </w:tcPr>
          <w:p>
            <w:r>
              <w:rPr>
                <w:rFonts w:ascii="Arial" w:cs="Arial" w:eastAsia="Arial" w:hAnsi="Arial"/>
                <w:sz w:val="18"/>
                <w:szCs w:val="18"/>
              </w:rPr>
              <w:t xml:space="preserve">pass → Monitoring &amp; Renewal — [GATE OVERRIDE] forced past 1 blocker(s) by Person 7 — Book at least one tranche before moving to monitoring</w:t>
            </w:r>
          </w:p>
        </w:tc>
      </w:tr>
    </w:tbl>
    <w:p>
      <w:pPr>
        <w:spacing w:after="60"/>
      </w:pPr>
      <w:r>
        <w:rPr>
          <w:rFonts w:ascii="Arial" w:cs="Arial" w:eastAsia="Arial" w:hAnsi="Arial"/>
          <w:sz w:val="20"/>
          <w:szCs w:val="20"/>
        </w:rPr>
        <w:t xml:space="preserve"/>
      </w:r>
    </w:p>
    <w:p>
      <w:pPr>
        <w:spacing w:after="120"/>
      </w:pPr>
      <w:r>
        <w:rPr>
          <w:rFonts w:ascii="Arial" w:cs="Arial" w:eastAsia="Arial" w:hAnsi="Arial"/>
          <w:b/>
          <w:bCs/>
          <w:sz w:val="20"/>
          <w:szCs w:val="20"/>
        </w:rPr>
        <w:t xml:space="preserve">Approval: Level 1</w:t>
      </w:r>
    </w:p>
    <w:p>
      <w:r>
        <w:br w:type="page"/>
      </w:r>
    </w:p>
    <w:p>
      <w:pPr>
        <w:pStyle w:val="Heading1"/>
        <w:spacing w:after="120" w:before="240"/>
      </w:pPr>
      <w:r>
        <w:rPr>
          <w:rFonts w:ascii="Arial" w:cs="Arial" w:eastAsia="Arial" w:hAnsi="Arial"/>
          <w:b/>
          <w:bCs/>
          <w:color w:val="1F3864"/>
          <w:sz w:val="26"/>
          <w:szCs w:val="26"/>
        </w:rPr>
        <w:t xml:space="preserve">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Construct a new facility for Consumers.</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2 — Recommenders</w:t>
            </w:r>
          </w:p>
        </w:tc>
      </w:tr>
      <w:tr>
        <w:tc>
          <w:tcPr>
            <w:tcMar>
              <w:top w:type="dxa" w:w="40"/>
              <w:left w:type="dxa" w:w="80"/>
              <w:bottom w:type="dxa" w:w="40"/>
              <w:right w:type="dxa" w:w="80"/>
            </w:tcMar>
          </w:tcPr>
          <w:p>
            <w:r>
              <w:rPr>
                <w:rFonts w:ascii="Arial" w:cs="Arial" w:eastAsia="Arial" w:hAnsi="Arial"/>
                <w:sz w:val="18"/>
                <w:szCs w:val="18"/>
              </w:rPr>
              <w:t xml:space="preserve">Person 5
Credit Committee Member
15 Sept 2026</w:t>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1 — Approvers</w:t>
            </w:r>
          </w:p>
        </w:tc>
      </w:tr>
      <w:tr>
        <w:tc>
          <w:tcPr>
            <w:tcMar>
              <w:top w:type="dxa" w:w="40"/>
              <w:left w:type="dxa" w:w="80"/>
              <w:bottom w:type="dxa" w:w="40"/>
              <w:right w:type="dxa" w:w="80"/>
            </w:tcMar>
          </w:tcPr>
          <w:p>
            <w:r>
              <w:rPr>
                <w:rFonts w:ascii="Arial" w:cs="Arial" w:eastAsia="Arial" w:hAnsi="Arial"/>
                <w:sz w:val="18"/>
                <w:szCs w:val="18"/>
              </w:rPr>
              <w:t xml:space="preserve">Person 2
Head of Private Banking
15 Sept 2026</w:t>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Committee member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Designation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Approved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Declined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Comment</w:t>
            </w:r>
          </w:p>
        </w:tc>
      </w:tr>
      <w:tr>
        <w:tc>
          <w:tcPr>
            <w:tcMar>
              <w:top w:type="dxa" w:w="40"/>
              <w:left w:type="dxa" w:w="80"/>
              <w:bottom w:type="dxa" w:w="40"/>
              <w:right w:type="dxa" w:w="80"/>
            </w:tcMar>
          </w:tcPr>
          <w:p>
            <w:r>
              <w:rPr>
                <w:rFonts w:ascii="Arial" w:cs="Arial" w:eastAsia="Arial" w:hAnsi="Arial"/>
                <w:sz w:val="18"/>
                <w:szCs w:val="18"/>
              </w:rPr>
              <w:t xml:space="preserve">Asad</w:t>
            </w:r>
          </w:p>
        </w:tc>
        <w:tc>
          <w:tcPr>
            <w:tcMar>
              <w:top w:type="dxa" w:w="40"/>
              <w:left w:type="dxa" w:w="80"/>
              <w:bottom w:type="dxa" w:w="40"/>
              <w:right w:type="dxa" w:w="80"/>
            </w:tcMar>
          </w:tcPr>
          <w:p>
            <w:r>
              <w:rPr>
                <w:rFonts w:ascii="Arial" w:cs="Arial" w:eastAsia="Arial" w:hAnsi="Arial"/>
                <w:sz w:val="18"/>
                <w:szCs w:val="18"/>
              </w:rPr>
              <w:t xml:space="preserve">af</w:t>
            </w:r>
          </w:p>
        </w:tc>
        <w:tc>
          <w:tcPr>
            <w:tcMar>
              <w:top w:type="dxa" w:w="40"/>
              <w:left w:type="dxa" w:w="80"/>
              <w:bottom w:type="dxa" w:w="40"/>
              <w:right w:type="dxa" w:w="80"/>
            </w:tcMar>
          </w:tcPr>
          <w:p>
            <w:pPr>
              <w:jc w:val="center"/>
            </w:pPr>
            <w:r>
              <w:rPr>
                <w:rFonts w:ascii="Arial" w:cs="Arial" w:eastAsia="Arial" w:hAnsi="Arial"/>
                <w:sz w:val="18"/>
                <w:szCs w:val="18"/>
              </w:rPr>
              <w:t xml:space="preserve">✔</w:t>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efwfg</w:t>
            </w:r>
          </w:p>
        </w:tc>
        <w:tc>
          <w:tcPr>
            <w:tcMar>
              <w:top w:type="dxa" w:w="40"/>
              <w:left w:type="dxa" w:w="80"/>
              <w:bottom w:type="dxa" w:w="40"/>
              <w:right w:type="dxa" w:w="80"/>
            </w:tcMar>
          </w:tcPr>
          <w:p>
            <w:r>
              <w:rPr>
                <w:rFonts w:ascii="Arial" w:cs="Arial" w:eastAsia="Arial" w:hAnsi="Arial"/>
                <w:sz w:val="18"/>
                <w:szCs w:val="18"/>
              </w:rPr>
              <w:t xml:space="preserve">f</w:t>
            </w:r>
          </w:p>
        </w:tc>
        <w:tc>
          <w:tcPr>
            <w:tcMar>
              <w:top w:type="dxa" w:w="40"/>
              <w:left w:type="dxa" w:w="80"/>
              <w:bottom w:type="dxa" w:w="40"/>
              <w:right w:type="dxa" w:w="80"/>
            </w:tcMar>
          </w:tcPr>
          <w:p>
            <w:pPr>
              <w:jc w:val="center"/>
            </w:pPr>
            <w:r>
              <w:rPr>
                <w:rFonts w:ascii="Arial" w:cs="Arial" w:eastAsia="Arial" w:hAnsi="Arial"/>
                <w:sz w:val="18"/>
                <w:szCs w:val="18"/>
              </w:rPr>
              <w:t xml:space="preserve">✔</w:t>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b/>
          <w:bCs/>
          <w:sz w:val="20"/>
          <w:szCs w:val="20"/>
        </w:rPr>
        <w:t xml:space="preserve">Decision: approved (15 Sept 2026)</w:t>
      </w:r>
    </w:p>
    <w:p>
      <w:r>
        <w:br w:type="page"/>
      </w:r>
    </w:p>
    <w:p>
      <w:pPr>
        <w:pStyle w:val="Heading1"/>
        <w:spacing w:after="120" w:before="240"/>
      </w:pPr>
      <w:r>
        <w:rPr>
          <w:rFonts w:ascii="Arial" w:cs="Arial" w:eastAsia="Arial" w:hAnsi="Arial"/>
          <w:b/>
          <w:bCs/>
          <w:color w:val="1F3864"/>
          <w:sz w:val="26"/>
          <w:szCs w:val="26"/>
        </w:rPr>
        <w:t xml:space="preserve">Facility Limit Summary</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Group Name</w:t>
            </w:r>
          </w:p>
        </w:tc>
        <w:tc>
          <w:tcPr>
            <w:tcW w:type="pct" w:w="70%"/>
            <w:tcMar>
              <w:top w:type="dxa" w:w="40"/>
              <w:left w:type="dxa" w:w="80"/>
              <w:bottom w:type="dxa" w:w="40"/>
              <w:right w:type="dxa" w:w="80"/>
            </w:tcMar>
          </w:tcPr>
          <w:p>
            <w:r>
              <w:rPr>
                <w:rFonts w:ascii="Arial" w:cs="Arial" w:eastAsia="Arial" w:hAnsi="Arial"/>
                <w:sz w:val="18"/>
                <w:szCs w:val="18"/>
              </w:rPr>
              <w:t xml:space="preserve">Salam Holdings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Relationship Manager</w:t>
            </w:r>
          </w:p>
        </w:tc>
        <w:tc>
          <w:tcPr>
            <w:tcW w:type="pct" w:w="70%"/>
            <w:tcMar>
              <w:top w:type="dxa" w:w="40"/>
              <w:left w:type="dxa" w:w="80"/>
              <w:bottom w:type="dxa" w:w="40"/>
              <w:right w:type="dxa" w:w="80"/>
            </w:tcMar>
          </w:tcPr>
          <w:p>
            <w:r>
              <w:rPr>
                <w:rFonts w:ascii="Arial" w:cs="Arial" w:eastAsia="Arial" w:hAnsi="Arial"/>
                <w:sz w:val="18"/>
                <w:szCs w:val="18"/>
              </w:rPr>
              <w:t xml:space="preserve">Person 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Department</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Submitted by</w:t>
            </w:r>
          </w:p>
        </w:tc>
        <w:tc>
          <w:tcPr>
            <w:tcW w:type="pct" w:w="70%"/>
            <w:tcMar>
              <w:top w:type="dxa" w:w="40"/>
              <w:left w:type="dxa" w:w="80"/>
              <w:bottom w:type="dxa" w:w="40"/>
              <w:right w:type="dxa" w:w="80"/>
            </w:tcMar>
          </w:tcPr>
          <w:p>
            <w:r>
              <w:rPr>
                <w:rFonts w:ascii="Arial" w:cs="Arial" w:eastAsia="Arial" w:hAnsi="Arial"/>
                <w:sz w:val="18"/>
                <w:szCs w:val="18"/>
              </w:rPr>
              <w:t xml:space="preserve">Operations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ROCE %</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Limit % of Capital Base</w:t>
            </w:r>
          </w:p>
        </w:tc>
        <w:tc>
          <w:tcPr>
            <w:tcW w:type="pct" w:w="70%"/>
            <w:tcMar>
              <w:top w:type="dxa" w:w="40"/>
              <w:left w:type="dxa" w:w="80"/>
              <w:bottom w:type="dxa" w:w="40"/>
              <w:right w:type="dxa" w:w="80"/>
            </w:tcMar>
          </w:tcPr>
          <w:p>
            <w:r>
              <w:rPr>
                <w:rFonts w:ascii="Arial" w:cs="Arial" w:eastAsia="Arial" w:hAnsi="Arial"/>
                <w:sz w:val="18"/>
                <w:szCs w:val="18"/>
              </w:rPr>
              <w:t xml:space="preserve">0.46%</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Borrower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Account No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RR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Domicile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Industry / Sector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 Type</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Salam International</w:t>
            </w:r>
          </w:p>
        </w:tc>
        <w:tc>
          <w:tcPr>
            <w:tcMar>
              <w:top w:type="dxa" w:w="40"/>
              <w:left w:type="dxa" w:w="80"/>
              <w:bottom w:type="dxa" w:w="40"/>
              <w:right w:type="dxa" w:w="80"/>
            </w:tcMar>
          </w:tcPr>
          <w:p>
            <w:r>
              <w:rPr>
                <w:rFonts w:ascii="Arial" w:cs="Arial" w:eastAsia="Arial" w:hAnsi="Arial"/>
                <w:sz w:val="18"/>
                <w:szCs w:val="18"/>
              </w:rPr>
              <w:t xml:space="preserve">New</w:t>
            </w:r>
          </w:p>
        </w:tc>
        <w:tc>
          <w:tcPr>
            <w:tcMar>
              <w:top w:type="dxa" w:w="40"/>
              <w:left w:type="dxa" w:w="80"/>
              <w:bottom w:type="dxa" w:w="40"/>
              <w:right w:type="dxa" w:w="80"/>
            </w:tcMar>
          </w:tcPr>
          <w:p>
            <w:r>
              <w:rPr>
                <w:rFonts w:ascii="Arial" w:cs="Arial" w:eastAsia="Arial" w:hAnsi="Arial"/>
                <w:sz w:val="18"/>
                <w:szCs w:val="18"/>
              </w:rPr>
              <w:t xml:space="preserve">R06</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i/>
          <w:iCs/>
          <w:color w:val="595959"/>
          <w:sz w:val="16"/>
          <w:szCs w:val="16"/>
        </w:rPr>
        <w:t xml:space="preserve">Figures in QAR 000's — USD converted at parity 3.65</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Existing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Proposed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Change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Pricing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Collateral</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Demand Loan</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36,500</w:t>
            </w:r>
          </w:p>
        </w:tc>
        <w:tc>
          <w:tcPr>
            <w:tcMar>
              <w:top w:type="dxa" w:w="40"/>
              <w:left w:type="dxa" w:w="80"/>
              <w:bottom w:type="dxa" w:w="40"/>
              <w:right w:type="dxa" w:w="80"/>
            </w:tcMar>
          </w:tcPr>
          <w:p>
            <w:pPr>
              <w:jc w:val="right"/>
            </w:pPr>
            <w:r>
              <w:rPr>
                <w:rFonts w:ascii="Arial" w:cs="Arial" w:eastAsia="Arial" w:hAnsi="Arial"/>
                <w:sz w:val="18"/>
                <w:szCs w:val="18"/>
              </w:rPr>
              <w:t xml:space="preserve">36,500</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3"/>
            <w:shd w:fill="F2F2F2" w:color="auto" w:val="clear"/>
            <w:tcMar>
              <w:top w:type="dxa" w:w="40"/>
              <w:left w:type="dxa" w:w="80"/>
              <w:bottom w:type="dxa" w:w="40"/>
              <w:right w:type="dxa" w:w="80"/>
            </w:tcMar>
          </w:tcPr>
          <w:p>
            <w:r>
              <w:rPr>
                <w:rFonts w:ascii="Arial" w:cs="Arial" w:eastAsia="Arial" w:hAnsi="Arial"/>
                <w:b/>
                <w:bCs/>
                <w:sz w:val="18"/>
                <w:szCs w:val="18"/>
              </w:rPr>
              <w:t xml:space="preserve">SUB-TOTAL</w:t>
            </w:r>
          </w:p>
        </w:tc>
        <w:tc>
          <w:tcPr>
            <w:shd w:fill="F2F2F2" w:color="auto" w:val="clear"/>
            <w:tcMar>
              <w:top w:type="dxa" w:w="40"/>
              <w:left w:type="dxa" w:w="80"/>
              <w:bottom w:type="dxa" w:w="40"/>
              <w:right w:type="dxa" w:w="80"/>
            </w:tcMar>
          </w:tcPr>
          <w:p>
            <w:pPr>
              <w:jc w:val="right"/>
            </w:pPr>
            <w:r>
              <w:rPr>
                <w:rFonts w:ascii="Arial" w:cs="Arial" w:eastAsia="Arial" w:hAnsi="Arial"/>
                <w:b/>
                <w:bCs/>
                <w:sz w:val="18"/>
                <w:szCs w:val="18"/>
              </w:rPr>
              <w:t xml:space="preserve">36,500</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Limit expiry: —</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Large Exposure: N   Related Director: N</w:t>
            </w:r>
          </w:p>
        </w:tc>
      </w:tr>
      <w:tr>
        <w:tc>
          <w:tcPr>
            <w:gridSpan w:val="3"/>
            <w:tcMar>
              <w:top w:type="dxa" w:w="40"/>
              <w:left w:type="dxa" w:w="80"/>
              <w:bottom w:type="dxa" w:w="40"/>
              <w:right w:type="dxa" w:w="80"/>
            </w:tcMar>
          </w:tcPr>
          <w:p>
            <w:r>
              <w:rPr>
                <w:rFonts w:ascii="Arial" w:cs="Arial" w:eastAsia="Arial" w:hAnsi="Arial"/>
                <w:b/>
                <w:bCs/>
                <w:sz w:val="18"/>
                <w:szCs w:val="18"/>
              </w:rPr>
              <w:t xml:space="preserve">RELATED EXPOSURE</w:t>
            </w:r>
          </w:p>
        </w:tc>
        <w:tc>
          <w:tcPr>
            <w:tcMar>
              <w:top w:type="dxa" w:w="40"/>
              <w:left w:type="dxa" w:w="80"/>
              <w:bottom w:type="dxa" w:w="40"/>
              <w:right w:type="dxa" w:w="80"/>
            </w:tcMar>
          </w:tcPr>
          <w:p>
            <w:pPr>
              <w:jc w:val="right"/>
            </w:pPr>
            <w:r>
              <w:rPr>
                <w:rFonts w:ascii="Arial" w:cs="Arial" w:eastAsia="Arial" w:hAnsi="Arial"/>
                <w:sz w:val="18"/>
                <w:szCs w:val="18"/>
              </w:rPr>
              <w:t xml:space="preserve">NIL</w:t>
            </w:r>
          </w:p>
        </w:tc>
        <w:tc>
          <w:tcPr>
            <w:gridSpan w:val="4"/>
            <w:tcMar>
              <w:top w:type="dxa" w:w="40"/>
              <w:left w:type="dxa" w:w="80"/>
              <w:bottom w:type="dxa" w:w="40"/>
              <w:right w:type="dxa" w:w="80"/>
            </w:tcMar>
          </w:tcPr>
          <w:p>
            <w:r>
              <w:rPr>
                <w:rFonts w:ascii="Arial" w:cs="Arial" w:eastAsia="Arial" w:hAnsi="Arial"/>
                <w:sz w:val="18"/>
                <w:szCs w:val="18"/>
              </w:rPr>
              <w:t xml:space="preserve"/>
            </w:r>
          </w:p>
        </w:tc>
      </w:tr>
      <w:tr>
        <w:tc>
          <w:tcPr>
            <w:gridSpan w:val="3"/>
            <w:shd w:fill="D9D9D9" w:color="auto" w:val="clear"/>
            <w:tcMar>
              <w:top w:type="dxa" w:w="40"/>
              <w:left w:type="dxa" w:w="80"/>
              <w:bottom w:type="dxa" w:w="40"/>
              <w:right w:type="dxa" w:w="80"/>
            </w:tcMar>
          </w:tcPr>
          <w:p>
            <w:r>
              <w:rPr>
                <w:rFonts w:ascii="Arial" w:cs="Arial" w:eastAsia="Arial" w:hAnsi="Arial"/>
                <w:b/>
                <w:bCs/>
                <w:sz w:val="18"/>
                <w:szCs w:val="18"/>
              </w:rPr>
              <w:t xml:space="preserve">GRAND TOTAL</w:t>
            </w:r>
          </w:p>
        </w:tc>
        <w:tc>
          <w:tcPr>
            <w:shd w:fill="D9D9D9" w:color="auto" w:val="clear"/>
            <w:tcMar>
              <w:top w:type="dxa" w:w="40"/>
              <w:left w:type="dxa" w:w="80"/>
              <w:bottom w:type="dxa" w:w="40"/>
              <w:right w:type="dxa" w:w="80"/>
            </w:tcMar>
          </w:tcPr>
          <w:p>
            <w:pPr>
              <w:jc w:val="right"/>
            </w:pPr>
            <w:r>
              <w:rPr>
                <w:rFonts w:ascii="Arial" w:cs="Arial" w:eastAsia="Arial" w:hAnsi="Arial"/>
                <w:b/>
                <w:bCs/>
                <w:sz w:val="18"/>
                <w:szCs w:val="18"/>
              </w:rPr>
              <w:t xml:space="preserve">36,500</w:t>
            </w:r>
          </w:p>
        </w:tc>
        <w:tc>
          <w:tcPr>
            <w:gridSpan w:val="4"/>
            <w:shd w:fill="D9D9D9" w:color="auto" w:val="clea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Business Unit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c>
          <w:tcPr>
            <w:tcMar>
              <w:top w:type="dxa" w:w="40"/>
              <w:left w:type="dxa" w:w="80"/>
              <w:bottom w:type="dxa" w:w="40"/>
              <w:right w:type="dxa" w:w="80"/>
            </w:tcMar>
          </w:tcPr>
          <w:p>
            <w:r>
              <w:rPr>
                <w:rFonts w:ascii="Arial" w:cs="Arial" w:eastAsia="Arial" w:hAnsi="Arial"/>
                <w:b/>
                <w:bCs/>
                <w:sz w:val="18"/>
                <w:szCs w:val="18"/>
              </w:rPr>
              <w:t xml:space="preserve">Prepared by</w:t>
            </w:r>
          </w:p>
          <w:p>
            <w:r>
              <w:rPr>
                <w:rFonts w:ascii="Arial" w:cs="Arial" w:eastAsia="Arial" w:hAnsi="Arial"/>
                <w:sz w:val="18"/>
                <w:szCs w:val="18"/>
              </w:rPr>
              <w:t xml:space="preserve">Person 6</w:t>
            </w:r>
          </w:p>
          <w:p>
            <w:r>
              <w:rPr>
                <w:rFonts w:ascii="Arial" w:cs="Arial" w:eastAsia="Arial" w:hAnsi="Arial"/>
                <w:color w:val="595959"/>
                <w:sz w:val="16"/>
                <w:szCs w:val="16"/>
              </w:rPr>
              <w:t xml:space="preserve">Loan Operations Officer</w:t>
            </w:r>
          </w:p>
          <w:p>
            <w:r>
              <w:rPr>
                <w:rFonts w:ascii="Arial" w:cs="Arial" w:eastAsia="Arial" w:hAnsi="Arial"/>
                <w:i/>
                <w:iCs/>
                <w:color w:val="595959"/>
                <w:sz w:val="14"/>
                <w:szCs w:val="14"/>
              </w:rPr>
              <w:t xml:space="preserve">e-signed 15 Sept 2026 08:50</w:t>
            </w:r>
          </w:p>
        </w:tc>
        <w:tc>
          <w:tcPr>
            <w:tcMar>
              <w:top w:type="dxa" w:w="40"/>
              <w:left w:type="dxa" w:w="80"/>
              <w:bottom w:type="dxa" w:w="40"/>
              <w:right w:type="dxa" w:w="80"/>
            </w:tcMar>
          </w:tcPr>
          <w:p>
            <w:r>
              <w:rPr>
                <w:rFonts w:ascii="Arial" w:cs="Arial" w:eastAsia="Arial" w:hAnsi="Arial"/>
                <w:b/>
                <w:bCs/>
                <w:sz w:val="18"/>
                <w:szCs w:val="18"/>
              </w:rPr>
              <w:t xml:space="preserve">Recommended by</w:t>
            </w:r>
          </w:p>
          <w:p>
            <w:r>
              <w:rPr>
                <w:rFonts w:ascii="Arial" w:cs="Arial" w:eastAsia="Arial" w:hAnsi="Arial"/>
                <w:sz w:val="18"/>
                <w:szCs w:val="18"/>
              </w:rPr>
              <w:t xml:space="preserve">Person 7</w:t>
            </w:r>
          </w:p>
          <w:p>
            <w:r>
              <w:rPr>
                <w:rFonts w:ascii="Arial" w:cs="Arial" w:eastAsia="Arial" w:hAnsi="Arial"/>
                <w:color w:val="595959"/>
                <w:sz w:val="16"/>
                <w:szCs w:val="16"/>
              </w:rPr>
              <w:t xml:space="preserve">Internal Auditor</w:t>
            </w:r>
          </w:p>
          <w:p>
            <w:r>
              <w:rPr>
                <w:rFonts w:ascii="Arial" w:cs="Arial" w:eastAsia="Arial" w:hAnsi="Arial"/>
                <w:i/>
                <w:iCs/>
                <w:color w:val="595959"/>
                <w:sz w:val="14"/>
                <w:szCs w:val="14"/>
              </w:rPr>
              <w:t xml:space="preserve">e-signed 15 Sept 2026 08:51</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5</w:t>
            </w:r>
          </w:p>
          <w:p>
            <w:r>
              <w:rPr>
                <w:rFonts w:ascii="Arial" w:cs="Arial" w:eastAsia="Arial" w:hAnsi="Arial"/>
                <w:color w:val="595959"/>
                <w:sz w:val="16"/>
                <w:szCs w:val="16"/>
              </w:rPr>
              <w:t xml:space="preserve">Credit Committee Member</w:t>
            </w:r>
          </w:p>
          <w:p>
            <w:r>
              <w:rPr>
                <w:rFonts w:ascii="Arial" w:cs="Arial" w:eastAsia="Arial" w:hAnsi="Arial"/>
                <w:i/>
                <w:iCs/>
                <w:color w:val="595959"/>
                <w:sz w:val="14"/>
                <w:szCs w:val="14"/>
              </w:rPr>
              <w:t xml:space="preserve">e-signed 15 Sept 2026 08:51</w:t>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Risk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Mar>
              <w:top w:type="dxa" w:w="40"/>
              <w:left w:type="dxa" w:w="80"/>
              <w:bottom w:type="dxa" w:w="40"/>
              <w:right w:type="dxa" w:w="80"/>
            </w:tcMar>
          </w:tcPr>
          <w:p>
            <w:r>
              <w:rPr>
                <w:rFonts w:ascii="Arial" w:cs="Arial" w:eastAsia="Arial" w:hAnsi="Arial"/>
                <w:b/>
                <w:bCs/>
                <w:sz w:val="18"/>
                <w:szCs w:val="18"/>
              </w:rPr>
              <w:t xml:space="preserve">Reviewed by</w:t>
            </w:r>
          </w:p>
          <w:p>
            <w:r>
              <w:rPr>
                <w:rFonts w:ascii="Arial" w:cs="Arial" w:eastAsia="Arial" w:hAnsi="Arial"/>
                <w:sz w:val="18"/>
                <w:szCs w:val="18"/>
              </w:rPr>
              <w:t xml:space="preserve">Person 4</w:t>
            </w:r>
          </w:p>
          <w:p>
            <w:r>
              <w:rPr>
                <w:rFonts w:ascii="Arial" w:cs="Arial" w:eastAsia="Arial" w:hAnsi="Arial"/>
                <w:color w:val="595959"/>
                <w:sz w:val="16"/>
                <w:szCs w:val="16"/>
              </w:rPr>
              <w:t xml:space="preserve">Head of Credit Risk</w:t>
            </w:r>
          </w:p>
          <w:p>
            <w:r>
              <w:rPr>
                <w:rFonts w:ascii="Arial" w:cs="Arial" w:eastAsia="Arial" w:hAnsi="Arial"/>
                <w:i/>
                <w:iCs/>
                <w:color w:val="595959"/>
                <w:sz w:val="14"/>
                <w:szCs w:val="14"/>
              </w:rPr>
              <w:t xml:space="preserve">e-signed 15 Sept 2026 08:54</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2</w:t>
            </w:r>
          </w:p>
          <w:p>
            <w:r>
              <w:rPr>
                <w:rFonts w:ascii="Arial" w:cs="Arial" w:eastAsia="Arial" w:hAnsi="Arial"/>
                <w:color w:val="595959"/>
                <w:sz w:val="16"/>
                <w:szCs w:val="16"/>
              </w:rPr>
              <w:t xml:space="preserve">Head of Private Banking</w:t>
            </w:r>
          </w:p>
          <w:p>
            <w:r>
              <w:rPr>
                <w:rFonts w:ascii="Arial" w:cs="Arial" w:eastAsia="Arial" w:hAnsi="Arial"/>
                <w:i/>
                <w:iCs/>
                <w:color w:val="595959"/>
                <w:sz w:val="14"/>
                <w:szCs w:val="14"/>
              </w:rPr>
              <w:t xml:space="preserve">e-signed 15 Sept 2026 08:54</w:t>
            </w:r>
          </w:p>
        </w:tc>
      </w:tr>
      <w:tr>
        <w:tc>
          <w:tcPr>
            <w:gridSpan w:val="2"/>
            <w:tcMar>
              <w:top w:type="dxa" w:w="40"/>
              <w:left w:type="dxa" w:w="80"/>
              <w:bottom w:type="dxa" w:w="40"/>
              <w:right w:type="dxa" w:w="80"/>
            </w:tcMar>
          </w:tcPr>
          <w:p>
            <w:r>
              <w:rPr>
                <w:rFonts w:ascii="Arial" w:cs="Arial" w:eastAsia="Arial" w:hAnsi="Arial"/>
                <w:b/>
                <w:bCs/>
                <w:sz w:val="18"/>
                <w:szCs w:val="18"/>
              </w:rPr>
              <w:t xml:space="preserve">Condition(s) for Approval:</w:t>
            </w:r>
          </w:p>
          <w:p>
            <w:pPr>
              <w:pStyle w:val="ListParagraph"/>
              <w:numPr>
                <w:ilvl w:val="0"/>
                <w:numId w:val="1"/>
              </w:numPr>
            </w:pPr>
            <w:r>
              <w:rPr>
                <w:rFonts w:ascii="Arial" w:cs="Arial" w:eastAsia="Arial" w:hAnsi="Arial"/>
                <w:sz w:val="18"/>
                <w:szCs w:val="18"/>
              </w:rPr>
              <w:t xml:space="preserve">QCB credit report</w:t>
            </w:r>
          </w:p>
          <w:p>
            <w:pPr>
              <w:pStyle w:val="ListParagraph"/>
              <w:numPr>
                <w:ilvl w:val="0"/>
                <w:numId w:val="1"/>
              </w:numPr>
            </w:pPr>
            <w:r>
              <w:rPr>
                <w:rFonts w:ascii="Arial" w:cs="Arial" w:eastAsia="Arial" w:hAnsi="Arial"/>
                <w:sz w:val="18"/>
                <w:szCs w:val="18"/>
              </w:rPr>
              <w:t xml:space="preserve">5 year financial records</w:t>
            </w:r>
          </w:p>
        </w:tc>
      </w:tr>
    </w:tbl>
    <w:p>
      <w:r>
        <w:br w:type="page"/>
      </w:r>
    </w:p>
    <w:p>
      <w:pPr>
        <w:pStyle w:val="Heading1"/>
        <w:spacing w:after="120" w:before="240"/>
      </w:pPr>
      <w:r>
        <w:rPr>
          <w:rFonts w:ascii="Arial" w:cs="Arial" w:eastAsia="Arial" w:hAnsi="Arial"/>
          <w:b/>
          <w:bCs/>
          <w:color w:val="1F3864"/>
          <w:sz w:val="26"/>
          <w:szCs w:val="26"/>
        </w:rPr>
        <w:t xml:space="preserve">I. Nature of Request</w:t>
      </w:r>
    </w:p>
    <w:p>
      <w:pPr>
        <w:pStyle w:val="Heading2"/>
        <w:spacing w:after="120" w:before="240"/>
      </w:pPr>
      <w:r>
        <w:rPr>
          <w:rFonts w:ascii="Arial" w:cs="Arial" w:eastAsia="Arial" w:hAnsi="Arial"/>
          <w:b/>
          <w:bCs/>
          <w:color w:val="1F3864"/>
          <w:sz w:val="22"/>
          <w:szCs w:val="22"/>
        </w:rPr>
        <w:t xml:space="preserve">Brief Details of Borrower</w:t>
      </w:r>
    </w:p>
    <w:p>
      <w:pPr>
        <w:pStyle w:val="Heading2"/>
        <w:spacing w:after="120" w:before="240"/>
      </w:pPr>
      <w:r>
        <w:rPr>
          <w:rFonts w:ascii="Arial" w:cs="Arial" w:eastAsia="Arial" w:hAnsi="Arial"/>
          <w:b/>
          <w:bCs/>
          <w:color w:val="1F3864"/>
          <w:sz w:val="22"/>
          <w:szCs w:val="22"/>
        </w:rPr>
        <w:t xml:space="preserve">Brief Details of Guarantor</w:t>
      </w:r>
    </w:p>
    <w:p>
      <w:pPr>
        <w:pStyle w:val="Heading2"/>
        <w:spacing w:after="120" w:before="240"/>
      </w:pPr>
      <w:r>
        <w:rPr>
          <w:rFonts w:ascii="Arial" w:cs="Arial" w:eastAsia="Arial" w:hAnsi="Arial"/>
          <w:b/>
          <w:bCs/>
          <w:color w:val="1F3864"/>
          <w:sz w:val="22"/>
          <w:szCs w:val="22"/>
        </w:rPr>
        <w:t xml:space="preserve">Overview of the Transaction</w:t>
      </w:r>
    </w:p>
    <w:p>
      <w:pPr>
        <w:pStyle w:val="Heading2"/>
        <w:spacing w:after="120" w:before="240"/>
      </w:pPr>
      <w:r>
        <w:rPr>
          <w:rFonts w:ascii="Arial" w:cs="Arial" w:eastAsia="Arial" w:hAnsi="Arial"/>
          <w:b/>
          <w:bCs/>
          <w:color w:val="1F3864"/>
          <w:sz w:val="22"/>
          <w:szCs w:val="22"/>
        </w:rPr>
        <w:t xml:space="preserve">Modus Operandi</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term-sheet inputs contemplate lending against pledged securities or fund units, with a maximum LTV of 70%, a top-up trigger at 75% and a liquidation trigger at 85%; stated security coverage is 143%. The proposed tenor is 25 years with a two-year availability period. No mechanics have been provided for pledge creation, control of the custody account, eligible collateral, valuation frequency, NAV reporting, haircuts, concentration limits, margin calls, cure periods, forced-sale authority or release and substitution of collateral. Fee mechanics are stated as a 0.50% commitment fee, 0.25% management fee and 1.00% prepayment fee, but the calculation basis and timing are not specified. [Analyst to confirm: full collateral and monitoring framework, reporting frequency, renewal requirements, operational controls, fee computation, and treatment of market disruption or illiquid assets.] (Source: application form)</w:t>
      </w:r>
    </w:p>
    <w:p>
      <w:pPr>
        <w:pStyle w:val="Heading1"/>
        <w:spacing w:after="120" w:before="240"/>
      </w:pPr>
      <w:r>
        <w:rPr>
          <w:rFonts w:ascii="Arial" w:cs="Arial" w:eastAsia="Arial" w:hAnsi="Arial"/>
          <w:b/>
          <w:bCs/>
          <w:color w:val="1F3864"/>
          <w:sz w:val="26"/>
          <w:szCs w:val="26"/>
        </w:rPr>
        <w:t xml:space="preserve">II. Terms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tcW w:type="pct" w:w="75%"/>
            <w:tcMar>
              <w:top w:type="dxa" w:w="40"/>
              <w:left w:type="dxa" w:w="80"/>
              <w:bottom w:type="dxa" w:w="40"/>
              <w:right w:type="dxa" w:w="80"/>
            </w:tcMar>
          </w:tcPr>
          <w:p>
            <w:r>
              <w:rPr>
                <w:rFonts w:ascii="Arial" w:cs="Arial" w:eastAsia="Arial" w:hAnsi="Arial"/>
                <w:sz w:val="18"/>
                <w:szCs w:val="18"/>
              </w:rPr>
              <w:t xml:space="preserve">Demand Loan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Amount</w:t>
            </w:r>
          </w:p>
        </w:tc>
        <w:tc>
          <w:tcPr>
            <w:tcW w:type="pct" w:w="75%"/>
            <w:tcMar>
              <w:top w:type="dxa" w:w="40"/>
              <w:left w:type="dxa" w:w="80"/>
              <w:bottom w:type="dxa" w:w="40"/>
              <w:right w:type="dxa" w:w="80"/>
            </w:tcMar>
          </w:tcPr>
          <w:p>
            <w:r>
              <w:rPr>
                <w:rFonts w:ascii="Arial" w:cs="Arial" w:eastAsia="Arial" w:hAnsi="Arial"/>
                <w:sz w:val="18"/>
                <w:szCs w:val="18"/>
              </w:rPr>
              <w:t xml:space="preserve">USD 10.0 MM (QAR 36,500K)</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5%"/>
            <w:tcMar>
              <w:top w:type="dxa" w:w="40"/>
              <w:left w:type="dxa" w:w="80"/>
              <w:bottom w:type="dxa" w:w="40"/>
              <w:right w:type="dxa" w:w="80"/>
            </w:tcMar>
          </w:tcPr>
          <w:p>
            <w:r>
              <w:rPr>
                <w:rFonts w:ascii="Arial" w:cs="Arial" w:eastAsia="Arial" w:hAnsi="Arial"/>
                <w:sz w:val="18"/>
                <w:szCs w:val="18"/>
              </w:rPr>
              <w:t xml:space="preserve">Construct a new facility for Consumers.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Interest Rate</w:t>
            </w:r>
          </w:p>
        </w:tc>
        <w:tc>
          <w:tcPr>
            <w:tcW w:type="pct" w:w="75%"/>
            <w:tcMar>
              <w:top w:type="dxa" w:w="40"/>
              <w:left w:type="dxa" w:w="80"/>
              <w:bottom w:type="dxa" w:w="40"/>
              <w:right w:type="dxa" w:w="80"/>
            </w:tcMar>
          </w:tcPr>
          <w:p>
            <w:r>
              <w:rPr>
                <w:rFonts w:ascii="Arial" w:cs="Arial" w:eastAsia="Arial" w:hAnsi="Arial"/>
                <w:sz w:val="18"/>
                <w:szCs w:val="18"/>
              </w:rPr>
              <w:t xml:space="preserve">3M SOFR + 2.75% p.a. (max all-in 2.78%)</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Management Fee</w:t>
            </w:r>
          </w:p>
        </w:tc>
        <w:tc>
          <w:tcPr>
            <w:tcW w:type="pct" w:w="75%"/>
            <w:tcMar>
              <w:top w:type="dxa" w:w="40"/>
              <w:left w:type="dxa" w:w="80"/>
              <w:bottom w:type="dxa" w:w="40"/>
              <w:right w:type="dxa" w:w="80"/>
            </w:tcMar>
          </w:tcPr>
          <w:p>
            <w:r>
              <w:rPr>
                <w:rFonts w:ascii="Arial" w:cs="Arial" w:eastAsia="Arial" w:hAnsi="Arial"/>
                <w:sz w:val="18"/>
                <w:szCs w:val="18"/>
              </w:rPr>
              <w:t xml:space="preserve">0.25% p.a. on the facility limit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Commitment Fee</w:t>
            </w:r>
          </w:p>
        </w:tc>
        <w:tc>
          <w:tcPr>
            <w:tcW w:type="pct" w:w="75%"/>
            <w:tcMar>
              <w:top w:type="dxa" w:w="40"/>
              <w:left w:type="dxa" w:w="80"/>
              <w:bottom w:type="dxa" w:w="40"/>
              <w:right w:type="dxa" w:w="80"/>
            </w:tcMar>
          </w:tcPr>
          <w:p>
            <w:r>
              <w:rPr>
                <w:rFonts w:ascii="Arial" w:cs="Arial" w:eastAsia="Arial" w:hAnsi="Arial"/>
                <w:sz w:val="18"/>
                <w:szCs w:val="18"/>
              </w:rPr>
              <w:t xml:space="preserve">0.50% p.a. on the undisbursed balance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Prepayment Fee</w:t>
            </w:r>
          </w:p>
        </w:tc>
        <w:tc>
          <w:tcPr>
            <w:tcW w:type="pct" w:w="75%"/>
            <w:tcMar>
              <w:top w:type="dxa" w:w="40"/>
              <w:left w:type="dxa" w:w="80"/>
              <w:bottom w:type="dxa" w:w="40"/>
              <w:right w:type="dxa" w:w="80"/>
            </w:tcMar>
          </w:tcPr>
          <w:p>
            <w:r>
              <w:rPr>
                <w:rFonts w:ascii="Arial" w:cs="Arial" w:eastAsia="Arial" w:hAnsi="Arial"/>
                <w:sz w:val="18"/>
                <w:szCs w:val="18"/>
              </w:rPr>
              <w:t xml:space="preserve">1.00%</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Tenor</w:t>
            </w:r>
          </w:p>
        </w:tc>
        <w:tc>
          <w:tcPr>
            <w:tcW w:type="pct" w:w="75%"/>
            <w:tcMar>
              <w:top w:type="dxa" w:w="40"/>
              <w:left w:type="dxa" w:w="80"/>
              <w:bottom w:type="dxa" w:w="40"/>
              <w:right w:type="dxa" w:w="80"/>
            </w:tcMar>
          </w:tcPr>
          <w:p>
            <w:r>
              <w:rPr>
                <w:rFonts w:ascii="Arial" w:cs="Arial" w:eastAsia="Arial" w:hAnsi="Arial"/>
                <w:sz w:val="18"/>
                <w:szCs w:val="18"/>
              </w:rPr>
              <w:t xml:space="preserve">25 years (2-year availability period)</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Disbursement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Proposed facility: Demand Loan of USD 10,000K, equivalent to QAR 36,500K at parity 3.65. (Source: application form)</w:t>
            </w:r>
          </w:p>
          <w:p>
            <w:pPr>
              <w:pStyle w:val="ListParagraph"/>
              <w:numPr>
                <w:ilvl w:val="0"/>
                <w:numId w:val="1"/>
              </w:numPr>
              <w:spacing w:after="60"/>
            </w:pPr>
            <w:r>
              <w:rPr>
                <w:rFonts w:ascii="Arial" w:cs="Arial" w:eastAsia="Arial" w:hAnsi="Arial"/>
                <w:sz w:val="20"/>
                <w:szCs w:val="20"/>
              </w:rPr>
              <w:t xml:space="preserve">Availability: two years within the proposed 25-year tenor. (Source: application form)</w:t>
            </w:r>
          </w:p>
          <w:p>
            <w:pPr>
              <w:pStyle w:val="ListParagraph"/>
              <w:numPr>
                <w:ilvl w:val="0"/>
                <w:numId w:val="1"/>
              </w:numPr>
              <w:spacing w:after="60"/>
            </w:pPr>
            <w:r>
              <w:rPr>
                <w:rFonts w:ascii="Arial" w:cs="Arial" w:eastAsia="Arial" w:hAnsi="Arial"/>
                <w:sz w:val="20"/>
                <w:szCs w:val="20"/>
              </w:rPr>
              <w:t xml:space="preserve">Account status: new account to be opened. (Source: application form)</w:t>
            </w:r>
          </w:p>
          <w:p>
            <w:pPr>
              <w:pStyle w:val="ListParagraph"/>
              <w:numPr>
                <w:ilvl w:val="0"/>
                <w:numId w:val="1"/>
              </w:numPr>
              <w:spacing w:after="60"/>
            </w:pPr>
            <w:r>
              <w:rPr>
                <w:rFonts w:ascii="Arial" w:cs="Arial" w:eastAsia="Arial" w:hAnsi="Arial"/>
                <w:sz w:val="20"/>
                <w:szCs w:val="20"/>
              </w:rPr>
              <w:t xml:space="preserve">Disbursement is subject to completion of legal, credit, regulatory and security documentation, including QCB approval for FX lending. (Source: application form)</w:t>
            </w:r>
          </w:p>
          <w:p>
            <w:pPr>
              <w:pStyle w:val="ListParagraph"/>
              <w:numPr>
                <w:ilvl w:val="0"/>
                <w:numId w:val="1"/>
              </w:numPr>
              <w:spacing w:after="60"/>
            </w:pPr>
            <w:r>
              <w:rPr>
                <w:rFonts w:ascii="Arial" w:cs="Arial" w:eastAsia="Arial" w:hAnsi="Arial"/>
                <w:sz w:val="20"/>
                <w:szCs w:val="20"/>
              </w:rPr>
              <w:t xml:space="preserve">The facility is stated to be supported by pledged securities or fund units, but eligible collateral, custody arrangements, valuation and perfection requirements are not specified. [Analyst to confirm.]</w:t>
            </w:r>
          </w:p>
          <w:p>
            <w:pPr>
              <w:pStyle w:val="ListParagraph"/>
              <w:numPr>
                <w:ilvl w:val="0"/>
                <w:numId w:val="1"/>
              </w:numPr>
              <w:spacing w:after="60"/>
            </w:pPr>
            <w:r>
              <w:rPr>
                <w:rFonts w:ascii="Arial" w:cs="Arial" w:eastAsia="Arial" w:hAnsi="Arial"/>
                <w:sz w:val="20"/>
                <w:szCs w:val="20"/>
              </w:rPr>
              <w:t xml:space="preserve">Tranche booking rules, minimum drawdown, utilisation currency, permitted end-use evidence and conditions precedent have not been provided. [Analyst to confirm.]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Repayment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Pricing: 3M SOFR plus 2.75%, subject to a maximum all-in rate of 2.78%. The application does not specify the interest payment frequency, benchmark fallback, observation convention or treatment of any negative benchmark. (Source: application form)</w:t>
            </w:r>
          </w:p>
          <w:p>
            <w:pPr>
              <w:pStyle w:val="ListParagraph"/>
              <w:numPr>
                <w:ilvl w:val="0"/>
                <w:numId w:val="1"/>
              </w:numPr>
              <w:spacing w:after="60"/>
            </w:pPr>
            <w:r>
              <w:rPr>
                <w:rFonts w:ascii="Arial" w:cs="Arial" w:eastAsia="Arial" w:hAnsi="Arial"/>
                <w:sz w:val="20"/>
                <w:szCs w:val="20"/>
              </w:rPr>
              <w:t xml:space="preserve">Commitment fee: 0.50%; management fee: 0.25%; prepayment fee: 1.00%. The calculation basis, charging dates and applicability to undrawn or prepaid amounts are not specified. (Source: application form)</w:t>
            </w:r>
          </w:p>
          <w:p>
            <w:pPr>
              <w:pStyle w:val="ListParagraph"/>
              <w:numPr>
                <w:ilvl w:val="0"/>
                <w:numId w:val="1"/>
              </w:numPr>
              <w:spacing w:after="60"/>
            </w:pPr>
            <w:r>
              <w:rPr>
                <w:rFonts w:ascii="Arial" w:cs="Arial" w:eastAsia="Arial" w:hAnsi="Arial"/>
                <w:sz w:val="20"/>
                <w:szCs w:val="20"/>
              </w:rPr>
              <w:t xml:space="preserve">Principal: repayment mechanics have not been provided for the 25-year tenor or the two-year availability period. [Analyst to confirm: amortisation profile, bullet or demand repayment terms, scheduled instalments, maturity settlement, voluntary prepayment rights and mandatory prepayment events.]</w:t>
            </w:r>
          </w:p>
          <w:p>
            <w:pPr>
              <w:pStyle w:val="ListParagraph"/>
              <w:numPr>
                <w:ilvl w:val="0"/>
                <w:numId w:val="1"/>
              </w:numPr>
              <w:spacing w:after="60"/>
            </w:pPr>
            <w:r>
              <w:rPr>
                <w:rFonts w:ascii="Arial" w:cs="Arial" w:eastAsia="Arial" w:hAnsi="Arial"/>
                <w:sz w:val="20"/>
                <w:szCs w:val="20"/>
              </w:rPr>
              <w:t xml:space="preserve">The proposal includes collateral-based top-up and liquidation triggers at 75% and 85% LTV, respectively. [Analyst to confirm: margin-call cure period, enforcement rights and application of sale proceeds.]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Security / Support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proposed Demand Loan is stated at USD 10,000K, equivalent to QAR 36,500K at the fixed parity of 3.65 (Source: application form).</w:t>
            </w:r>
          </w:p>
          <w:p>
            <w:pPr>
              <w:pStyle w:val="ListParagraph"/>
              <w:numPr>
                <w:ilvl w:val="0"/>
                <w:numId w:val="1"/>
              </w:numPr>
              <w:spacing w:after="60"/>
            </w:pPr>
            <w:r>
              <w:rPr>
                <w:rFonts w:ascii="Arial" w:cs="Arial" w:eastAsia="Arial" w:hAnsi="Arial"/>
                <w:sz w:val="20"/>
                <w:szCs w:val="20"/>
              </w:rPr>
              <w:t xml:space="preserve">Proposed security is stated to comprise pledged securities/fund units with an LTV cap of 70%, a top-up trigger at 75% and a liquidation trigger at 85% (Source: application form).</w:t>
            </w:r>
          </w:p>
          <w:p>
            <w:pPr>
              <w:pStyle w:val="ListParagraph"/>
              <w:numPr>
                <w:ilvl w:val="0"/>
                <w:numId w:val="1"/>
              </w:numPr>
              <w:spacing w:after="60"/>
            </w:pPr>
            <w:r>
              <w:rPr>
                <w:rFonts w:ascii="Arial" w:cs="Arial" w:eastAsia="Arial" w:hAnsi="Arial"/>
                <w:sz w:val="20"/>
                <w:szCs w:val="20"/>
              </w:rPr>
              <w:t xml:space="preserve">The term sheet indicates security coverage of 143%; the related bank threshold is recorded as weak (Source: application form).</w:t>
            </w:r>
          </w:p>
          <w:p>
            <w:pPr>
              <w:pStyle w:val="ListParagraph"/>
              <w:numPr>
                <w:ilvl w:val="0"/>
                <w:numId w:val="1"/>
              </w:numPr>
              <w:spacing w:after="60"/>
            </w:pPr>
            <w:r>
              <w:rPr>
                <w:rFonts w:ascii="Arial" w:cs="Arial" w:eastAsia="Arial" w:hAnsi="Arial"/>
                <w:sz w:val="20"/>
                <w:szCs w:val="20"/>
              </w:rPr>
              <w:t xml:space="preserve">The nature, value, liquidity, ownership, custodian and enforceability of the proposed pledged securities/fund units have not been evidenced. [Analyst to confirm: detailed collateral schedule, valuation basis, custody arrangements, pledge documentation and eligibility of the assets.]</w:t>
            </w:r>
          </w:p>
          <w:p>
            <w:pPr>
              <w:pStyle w:val="ListParagraph"/>
              <w:numPr>
                <w:ilvl w:val="0"/>
                <w:numId w:val="1"/>
              </w:numPr>
              <w:spacing w:after="60"/>
            </w:pPr>
            <w:r>
              <w:rPr>
                <w:rFonts w:ascii="Arial" w:cs="Arial" w:eastAsia="Arial" w:hAnsi="Arial"/>
                <w:sz w:val="20"/>
                <w:szCs w:val="20"/>
              </w:rPr>
              <w:t xml:space="preserve">No collateral documentation has been uploaded. [Analyst to confirm: executed pledge documentation and evidence that the proposed security is available for first-ranking security in favour of Ahlibank.]</w:t>
            </w:r>
          </w:p>
          <w:p>
            <w:pPr>
              <w:pStyle w:val="ListParagraph"/>
              <w:numPr>
                <w:ilvl w:val="0"/>
                <w:numId w:val="1"/>
              </w:numPr>
              <w:spacing w:after="60"/>
            </w:pPr>
            <w:r>
              <w:rPr>
                <w:rFonts w:ascii="Arial" w:cs="Arial" w:eastAsia="Arial" w:hAnsi="Arial"/>
                <w:sz w:val="20"/>
                <w:szCs w:val="20"/>
              </w:rPr>
              <w:t xml:space="preserve">No specific personal, corporate or cross-corporate guarantee, undertaking or other support is identified in the term sheet. [Analyst to confirm: proposed guarantees, undertakings and ranking of security.]</w:t>
            </w:r>
          </w:p>
          <w:p>
            <w:pPr>
              <w:pStyle w:val="ListParagraph"/>
              <w:numPr>
                <w:ilvl w:val="0"/>
                <w:numId w:val="1"/>
              </w:numPr>
              <w:spacing w:after="60"/>
            </w:pPr>
            <w:r>
              <w:rPr>
                <w:rFonts w:ascii="Arial" w:cs="Arial" w:eastAsia="Arial" w:hAnsi="Arial"/>
                <w:sz w:val="20"/>
                <w:szCs w:val="20"/>
              </w:rPr>
              <w:t xml:space="preserve">Top-up and liquidation procedures, including notification, cure periods, valuation frequency and the Bank’s right to liquidate, should be documented before utilisation.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Conditions Precedent</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Performance Monitoring</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Terms &amp; Conditions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Audited annual financial statements to be submitted within [Analyst to confirm: policy deadline] after each financial year-end, together with any interim reporting required by the Bank.</w:t>
            </w:r>
          </w:p>
          <w:p>
            <w:pPr>
              <w:pStyle w:val="ListParagraph"/>
              <w:numPr>
                <w:ilvl w:val="0"/>
                <w:numId w:val="1"/>
              </w:numPr>
              <w:spacing w:after="60"/>
            </w:pPr>
            <w:r>
              <w:rPr>
                <w:rFonts w:ascii="Arial" w:cs="Arial" w:eastAsia="Arial" w:hAnsi="Arial"/>
                <w:sz w:val="20"/>
                <w:szCs w:val="20"/>
              </w:rPr>
              <w:t xml:space="preserve">The borrower and relevant support providers should maintain adequate reserves and liquidity to meet all obligations, margin calls, fees, taxes and costs associated with the facility. [Analyst to confirm: minimum reserve or liquidity amount.]</w:t>
            </w:r>
          </w:p>
          <w:p>
            <w:pPr>
              <w:pStyle w:val="ListParagraph"/>
              <w:numPr>
                <w:ilvl w:val="0"/>
                <w:numId w:val="1"/>
              </w:numPr>
              <w:spacing w:after="60"/>
            </w:pPr>
            <w:r>
              <w:rPr>
                <w:rFonts w:ascii="Arial" w:cs="Arial" w:eastAsia="Arial" w:hAnsi="Arial"/>
                <w:sz w:val="20"/>
                <w:szCs w:val="20"/>
              </w:rPr>
              <w:t xml:space="preserve">Cross-default to apply to material financial indebtedness of the borrower and relevant obligors, subject to agreed thresholds and cure periods. [Analyst to confirm: thresholds and drafting.] </w:t>
            </w:r>
          </w:p>
          <w:p>
            <w:pPr>
              <w:pStyle w:val="ListParagraph"/>
              <w:numPr>
                <w:ilvl w:val="0"/>
                <w:numId w:val="1"/>
              </w:numPr>
              <w:spacing w:after="60"/>
            </w:pPr>
            <w:r>
              <w:rPr>
                <w:rFonts w:ascii="Arial" w:cs="Arial" w:eastAsia="Arial" w:hAnsi="Arial"/>
                <w:sz w:val="20"/>
                <w:szCs w:val="20"/>
              </w:rPr>
              <w:t xml:space="preserve">KYC, beneficial ownership, sanctions and eligibility requirements must remain satisfactory throughout the facility tenor; the account is stated to be a new account to be opened (Source: application form).</w:t>
            </w:r>
          </w:p>
          <w:p>
            <w:pPr>
              <w:pStyle w:val="ListParagraph"/>
              <w:numPr>
                <w:ilvl w:val="0"/>
                <w:numId w:val="1"/>
              </w:numPr>
              <w:spacing w:after="60"/>
            </w:pPr>
            <w:r>
              <w:rPr>
                <w:rFonts w:ascii="Arial" w:cs="Arial" w:eastAsia="Arial" w:hAnsi="Arial"/>
                <w:sz w:val="20"/>
                <w:szCs w:val="20"/>
              </w:rPr>
              <w:t xml:space="preserve">Facility: Demand Loan of USD 10,000K, equivalent to QAR 36,500K; tenor 25 years with availability of two years (Source: application form).</w:t>
            </w:r>
          </w:p>
          <w:p>
            <w:pPr>
              <w:pStyle w:val="ListParagraph"/>
              <w:numPr>
                <w:ilvl w:val="0"/>
                <w:numId w:val="1"/>
              </w:numPr>
              <w:spacing w:after="60"/>
            </w:pPr>
            <w:r>
              <w:rPr>
                <w:rFonts w:ascii="Arial" w:cs="Arial" w:eastAsia="Arial" w:hAnsi="Arial"/>
                <w:sz w:val="20"/>
                <w:szCs w:val="20"/>
              </w:rPr>
              <w:t xml:space="preserve">Pricing: 3M SOFR plus 2.75%, with maximum all-in pricing of 2.78%; commitment fee 0.50%, management fee 0.25% and prepayment fee 1.00% (Source: application form).</w:t>
            </w:r>
          </w:p>
          <w:p>
            <w:pPr>
              <w:pStyle w:val="ListParagraph"/>
              <w:numPr>
                <w:ilvl w:val="0"/>
                <w:numId w:val="1"/>
              </w:numPr>
              <w:spacing w:after="60"/>
            </w:pPr>
            <w:r>
              <w:rPr>
                <w:rFonts w:ascii="Arial" w:cs="Arial" w:eastAsia="Arial" w:hAnsi="Arial"/>
                <w:sz w:val="20"/>
                <w:szCs w:val="20"/>
              </w:rPr>
              <w:t xml:space="preserve">Governing law: Qatari law. Regulatory prerequisite: QCB approval for FX lending (Source: application form).</w:t>
            </w:r>
          </w:p>
          <w:p>
            <w:pPr>
              <w:pStyle w:val="ListParagraph"/>
              <w:numPr>
                <w:ilvl w:val="0"/>
                <w:numId w:val="1"/>
              </w:numPr>
              <w:spacing w:after="60"/>
            </w:pPr>
            <w:r>
              <w:rPr>
                <w:rFonts w:ascii="Arial" w:cs="Arial" w:eastAsia="Arial" w:hAnsi="Arial"/>
                <w:sz w:val="20"/>
                <w:szCs w:val="20"/>
              </w:rPr>
              <w:t xml:space="preserve">[Analyst to confirm: final risk rating, refinance carve-out, financial covenant package and all remaining commercial terms.]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Covenants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Establish a debt service reserve account or equivalent liquidity support acceptable to the Bank. [Analyst to confirm: required DSRA amount, funding date, permitted investments and release mechanics.]</w:t>
            </w:r>
          </w:p>
          <w:p>
            <w:pPr>
              <w:pStyle w:val="ListParagraph"/>
              <w:numPr>
                <w:ilvl w:val="0"/>
                <w:numId w:val="1"/>
              </w:numPr>
              <w:spacing w:after="60"/>
            </w:pPr>
            <w:r>
              <w:rPr>
                <w:rFonts w:ascii="Arial" w:cs="Arial" w:eastAsia="Arial" w:hAnsi="Arial"/>
                <w:sz w:val="20"/>
                <w:szCs w:val="20"/>
              </w:rPr>
              <w:t xml:space="preserve">No side letters, waivers or amendments affecting repayment, ranking, security or financial obligations should be issued without the Bank’s prior written approval. [Analyst to confirm: whether any side letters are contemplated.]</w:t>
            </w:r>
          </w:p>
          <w:p>
            <w:pPr>
              <w:pStyle w:val="ListParagraph"/>
              <w:numPr>
                <w:ilvl w:val="0"/>
                <w:numId w:val="1"/>
              </w:numPr>
              <w:spacing w:after="60"/>
            </w:pPr>
            <w:r>
              <w:rPr>
                <w:rFonts w:ascii="Arial" w:cs="Arial" w:eastAsia="Arial" w:hAnsi="Arial"/>
                <w:sz w:val="20"/>
                <w:szCs w:val="20"/>
              </w:rPr>
              <w:t xml:space="preserve">The borrower must maintain the pledged collateral within the agreed LTV parameters, provide top-up collateral when LTV reaches 75% and permit liquidation when LTV reaches 85%, subject to documented valuation and enforcement procedures (Source: application form).</w:t>
            </w:r>
          </w:p>
          <w:p>
            <w:pPr>
              <w:pStyle w:val="ListParagraph"/>
              <w:numPr>
                <w:ilvl w:val="0"/>
                <w:numId w:val="1"/>
              </w:numPr>
              <w:spacing w:after="60"/>
            </w:pPr>
            <w:r>
              <w:rPr>
                <w:rFonts w:ascii="Arial" w:cs="Arial" w:eastAsia="Arial" w:hAnsi="Arial"/>
                <w:sz w:val="20"/>
                <w:szCs w:val="20"/>
              </w:rPr>
              <w:t xml:space="preserve">Liquidation proceeds should be applied first to enforcement costs and then to all amounts due to Ahlibank, with any surplus dealt with in accordance with applicable law and the facility documents. [Analyst to confirm: proposed waterfall and treatment of any shortfall.]</w:t>
            </w:r>
          </w:p>
          <w:p>
            <w:pPr>
              <w:pStyle w:val="ListParagraph"/>
              <w:numPr>
                <w:ilvl w:val="0"/>
                <w:numId w:val="1"/>
              </w:numPr>
              <w:spacing w:after="60"/>
            </w:pPr>
            <w:r>
              <w:rPr>
                <w:rFonts w:ascii="Arial" w:cs="Arial" w:eastAsia="Arial" w:hAnsi="Arial"/>
                <w:sz w:val="20"/>
                <w:szCs w:val="20"/>
              </w:rPr>
              <w:t xml:space="preserve">The facility should rank at least pari passu with the borrower’s other unsecured and unsubordinated financial obligations, except for obligations mandatorily preferred by law. [Analyst to confirm: final ranking and any permitted priority security.]</w:t>
            </w:r>
          </w:p>
          <w:p>
            <w:pPr>
              <w:pStyle w:val="ListParagraph"/>
              <w:numPr>
                <w:ilvl w:val="0"/>
                <w:numId w:val="1"/>
              </w:numPr>
              <w:spacing w:after="60"/>
            </w:pPr>
            <w:r>
              <w:rPr>
                <w:rFonts w:ascii="Arial" w:cs="Arial" w:eastAsia="Arial" w:hAnsi="Arial"/>
                <w:sz w:val="20"/>
                <w:szCs w:val="20"/>
              </w:rPr>
              <w:t xml:space="preserve">[Analyst to confirm: minimum DSCR, interest-cover, leverage, current-ratio and collateral concentration covenants, noting that FY2025 DSCR is recorded as 0.40x and security coverage as weak against the bank threshold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Governing Law</w:t>
            </w:r>
          </w:p>
        </w:tc>
        <w:tc>
          <w:tcPr>
            <w:tcW w:type="pct" w:w="75%"/>
            <w:tcMar>
              <w:top w:type="dxa" w:w="40"/>
              <w:left w:type="dxa" w:w="80"/>
              <w:bottom w:type="dxa" w:w="40"/>
              <w:right w:type="dxa" w:w="80"/>
            </w:tcMar>
          </w:tcPr>
          <w:p>
            <w:r>
              <w:rPr>
                <w:rFonts w:ascii="Arial" w:cs="Arial" w:eastAsia="Arial" w:hAnsi="Arial"/>
                <w:sz w:val="18"/>
                <w:szCs w:val="18"/>
              </w:rPr>
              <w:t xml:space="preserve">Qatari Law</w:t>
            </w:r>
          </w:p>
        </w:tc>
      </w:tr>
    </w:tbl>
    <w:p>
      <w:pPr>
        <w:pStyle w:val="Heading1"/>
        <w:spacing w:after="120" w:before="240"/>
      </w:pPr>
      <w:r>
        <w:rPr>
          <w:rFonts w:ascii="Arial" w:cs="Arial" w:eastAsia="Arial" w:hAnsi="Arial"/>
          <w:b/>
          <w:bCs/>
          <w:color w:val="1F3864"/>
          <w:sz w:val="26"/>
          <w:szCs w:val="26"/>
        </w:rPr>
        <w:t xml:space="preserve">III. Borrower Background</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borrower is identified in the financial information as Salam International Investment Limited Q.P.S.C.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The application identifies the group as Salam Holdings and the account as a new account to be opened (Source: application form).</w:t>
      </w:r>
    </w:p>
    <w:p>
      <w:pPr>
        <w:pStyle w:val="ListParagraph"/>
        <w:numPr>
          <w:ilvl w:val="0"/>
          <w:numId w:val="1"/>
        </w:numPr>
        <w:spacing w:after="60"/>
      </w:pPr>
      <w:r>
        <w:rPr>
          <w:rFonts w:ascii="Arial" w:cs="Arial" w:eastAsia="Arial" w:hAnsi="Arial"/>
          <w:sz w:val="20"/>
          <w:szCs w:val="20"/>
        </w:rPr>
        <w:t xml:space="preserve">The borrower’s licence, domicile, industry classification and incorporation details are not provided. [Analyst to confirm: commercial registration, licence, registered office, incorporation date and licensed activities.]</w:t>
      </w:r>
    </w:p>
    <w:p>
      <w:pPr>
        <w:pStyle w:val="ListParagraph"/>
        <w:numPr>
          <w:ilvl w:val="0"/>
          <w:numId w:val="1"/>
        </w:numPr>
        <w:spacing w:after="60"/>
      </w:pPr>
      <w:r>
        <w:rPr>
          <w:rFonts w:ascii="Arial" w:cs="Arial" w:eastAsia="Arial" w:hAnsi="Arial"/>
          <w:sz w:val="20"/>
          <w:szCs w:val="20"/>
        </w:rPr>
        <w:t xml:space="preserve">Shareholding, ultimate beneficial ownership and the ownership relationship between Salam International and Salam Holdings have not been provided. [Analyst to confirm: current shareholding chart, UBO information and group structure.]</w:t>
      </w:r>
    </w:p>
    <w:p>
      <w:pPr>
        <w:pStyle w:val="ListParagraph"/>
        <w:numPr>
          <w:ilvl w:val="0"/>
          <w:numId w:val="1"/>
        </w:numPr>
        <w:spacing w:after="60"/>
      </w:pPr>
      <w:r>
        <w:rPr>
          <w:rFonts w:ascii="Arial" w:cs="Arial" w:eastAsia="Arial" w:hAnsi="Arial"/>
          <w:sz w:val="20"/>
          <w:szCs w:val="20"/>
        </w:rPr>
        <w:t xml:space="preserve">The financial statements identify the entity as a consolidated group and disclose balances involving related parties, associates and joint ventures. FY2025 net due from related parties was QAR 312,733K after an allowance of QAR 80,033K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p.60).</w:t>
      </w:r>
    </w:p>
    <w:p>
      <w:pPr>
        <w:pStyle w:val="ListParagraph"/>
        <w:numPr>
          <w:ilvl w:val="0"/>
          <w:numId w:val="1"/>
        </w:numPr>
        <w:spacing w:after="60"/>
      </w:pPr>
      <w:r>
        <w:rPr>
          <w:rFonts w:ascii="Arial" w:cs="Arial" w:eastAsia="Arial" w:hAnsi="Arial"/>
          <w:sz w:val="20"/>
          <w:szCs w:val="20"/>
        </w:rPr>
        <w:t xml:space="preserve">Management is represented in the supplied interim information by Abdul Salam Issa Abu Issa, Chief Executive Officer and Board Member, and Hekmat Abdel Fattah Younis, Chief Financial Officer (Source: SIIL English FS Sep 2025.pdf, p.4).</w:t>
      </w:r>
    </w:p>
    <w:p>
      <w:pPr>
        <w:pStyle w:val="ListParagraph"/>
        <w:numPr>
          <w:ilvl w:val="0"/>
          <w:numId w:val="1"/>
        </w:numPr>
        <w:spacing w:after="60"/>
      </w:pPr>
      <w:r>
        <w:rPr>
          <w:rFonts w:ascii="Arial" w:cs="Arial" w:eastAsia="Arial" w:hAnsi="Arial"/>
          <w:sz w:val="20"/>
          <w:szCs w:val="20"/>
        </w:rPr>
        <w:t xml:space="preserve">Detailed management biographies, tenure, experience, succession arrangements and governance information are not available. [Analyst to confirm: management profiles, board composition and authorised signatories.]</w:t>
      </w:r>
    </w:p>
    <w:p>
      <w:pPr>
        <w:pStyle w:val="Heading1"/>
        <w:spacing w:after="120" w:before="240"/>
      </w:pPr>
      <w:r>
        <w:rPr>
          <w:rFonts w:ascii="Arial" w:cs="Arial" w:eastAsia="Arial" w:hAnsi="Arial"/>
          <w:b/>
          <w:bCs/>
          <w:color w:val="1F3864"/>
          <w:sz w:val="26"/>
          <w:szCs w:val="26"/>
        </w:rPr>
        <w:t xml:space="preserve">IV. Industry Analysis</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borrower’s industry and licensed activities are not stated in the application or document pack. [Analyst to confirm: principal business sectors, operating segments and relevant regulatory framework.]</w:t>
      </w:r>
    </w:p>
    <w:p>
      <w:pPr>
        <w:pStyle w:val="ListParagraph"/>
        <w:numPr>
          <w:ilvl w:val="0"/>
          <w:numId w:val="1"/>
        </w:numPr>
        <w:spacing w:after="60"/>
      </w:pPr>
      <w:r>
        <w:rPr>
          <w:rFonts w:ascii="Arial" w:cs="Arial" w:eastAsia="Arial" w:hAnsi="Arial"/>
          <w:sz w:val="20"/>
          <w:szCs w:val="20"/>
        </w:rPr>
        <w:t xml:space="preserve">The financial information indicates revenue streams from contracts with customers, sale of goods, services, contract revenue and real estate revenue (Source: SIIL FS Q1-2026 English.pdf, p.21; Source: SIIL -HY 2026-English Signed.pdf, p.5).</w:t>
      </w:r>
    </w:p>
    <w:p>
      <w:pPr>
        <w:pStyle w:val="ListParagraph"/>
        <w:numPr>
          <w:ilvl w:val="0"/>
          <w:numId w:val="1"/>
        </w:numPr>
        <w:spacing w:after="60"/>
      </w:pPr>
      <w:r>
        <w:rPr>
          <w:rFonts w:ascii="Arial" w:cs="Arial" w:eastAsia="Arial" w:hAnsi="Arial"/>
          <w:sz w:val="20"/>
          <w:szCs w:val="20"/>
        </w:rPr>
        <w:t xml:space="preserve">Qatar represented approximately 80% of revenue from contracts with customers in 6M 2025, indicating material domestic market concentration (Source: SIIL Group FS -EN 30 June 2025.pdf, p.23).</w:t>
      </w:r>
    </w:p>
    <w:p>
      <w:pPr>
        <w:pStyle w:val="ListParagraph"/>
        <w:numPr>
          <w:ilvl w:val="0"/>
          <w:numId w:val="1"/>
        </w:numPr>
        <w:spacing w:after="60"/>
      </w:pPr>
      <w:r>
        <w:rPr>
          <w:rFonts w:ascii="Arial" w:cs="Arial" w:eastAsia="Arial" w:hAnsi="Arial"/>
          <w:sz w:val="20"/>
          <w:szCs w:val="20"/>
        </w:rPr>
        <w:t xml:space="preserve">Reported sector and operating risks include geopolitical developments in the Middle East, including Qatar, with potential implications for the sectors in which the Group operates (Source: SIIL -HY 2026-English Signed.pdf, p.28).</w:t>
      </w:r>
    </w:p>
    <w:p>
      <w:pPr>
        <w:pStyle w:val="ListParagraph"/>
        <w:numPr>
          <w:ilvl w:val="0"/>
          <w:numId w:val="1"/>
        </w:numPr>
        <w:spacing w:after="60"/>
      </w:pPr>
      <w:r>
        <w:rPr>
          <w:rFonts w:ascii="Arial" w:cs="Arial" w:eastAsia="Arial" w:hAnsi="Arial"/>
          <w:sz w:val="20"/>
          <w:szCs w:val="20"/>
        </w:rPr>
        <w:t xml:space="preserve">The Group also has material exposure to investment properties. Investment properties of QAR 2,343,675K represented approximately 50% of total assets at FY2025, and valuation was identified as a key audit matter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p.4).</w:t>
      </w:r>
    </w:p>
    <w:p>
      <w:pPr>
        <w:pStyle w:val="ListParagraph"/>
        <w:numPr>
          <w:ilvl w:val="0"/>
          <w:numId w:val="1"/>
        </w:numPr>
        <w:spacing w:after="60"/>
      </w:pPr>
      <w:r>
        <w:rPr>
          <w:rFonts w:ascii="Arial" w:cs="Arial" w:eastAsia="Arial" w:hAnsi="Arial"/>
          <w:sz w:val="20"/>
          <w:szCs w:val="20"/>
        </w:rPr>
        <w:t xml:space="preserve">The industry outlook, competitive position, demand drivers, regulatory environment and guarantor outlook cannot be assessed without confirmed operating-sector and group information. [Analyst to confirm: sector outlook, principal competitors, business drivers, key customers, supplier concentration and financial capacity of any guarantor.]</w:t>
      </w:r>
    </w:p>
    <w:p>
      <w:pPr>
        <w:pStyle w:val="Heading1"/>
        <w:spacing w:after="120" w:before="240"/>
      </w:pPr>
      <w:r>
        <w:rPr>
          <w:rFonts w:ascii="Arial" w:cs="Arial" w:eastAsia="Arial" w:hAnsi="Arial"/>
          <w:b/>
          <w:bCs/>
          <w:color w:val="1F3864"/>
          <w:sz w:val="26"/>
          <w:szCs w:val="26"/>
        </w:rPr>
        <w:t xml:space="preserve">V. Financial Analysis</w:t>
      </w:r>
    </w:p>
    <w:p>
      <w:pPr>
        <w:spacing w:after="120"/>
      </w:pPr>
      <w:r>
        <w:rPr>
          <w:rFonts w:ascii="Arial" w:cs="Arial" w:eastAsia="Arial" w:hAnsi="Arial"/>
          <w:b/>
          <w:bCs/>
          <w:sz w:val="20"/>
          <w:szCs w:val="20"/>
        </w:rPr>
        <w:t xml:space="preserve">Snapshot of Financial Performance — Salam International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Company</w:t>
            </w:r>
          </w:p>
        </w:tc>
        <w:tc>
          <w:tcPr>
            <w:tcW w:type="pct" w:w="70%"/>
            <w:tcMar>
              <w:top w:type="dxa" w:w="40"/>
              <w:left w:type="dxa" w:w="80"/>
              <w:bottom w:type="dxa" w:w="40"/>
              <w:right w:type="dxa" w:w="80"/>
            </w:tcMar>
          </w:tcPr>
          <w:p>
            <w:r>
              <w:rPr>
                <w:rFonts w:ascii="Arial" w:cs="Arial" w:eastAsia="Arial" w:hAnsi="Arial"/>
                <w:sz w:val="18"/>
                <w:szCs w:val="18"/>
              </w:rPr>
              <w:t xml:space="preserve">Salam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Type of Accounts</w:t>
            </w:r>
          </w:p>
        </w:tc>
        <w:tc>
          <w:tcPr>
            <w:tcW w:type="pct" w:w="70%"/>
            <w:tcMar>
              <w:top w:type="dxa" w:w="40"/>
              <w:left w:type="dxa" w:w="80"/>
              <w:bottom w:type="dxa" w:w="40"/>
              <w:right w:type="dxa" w:w="80"/>
            </w:tcMar>
          </w:tcPr>
          <w:p>
            <w:r>
              <w:rPr>
                <w:rFonts w:ascii="Arial" w:cs="Arial" w:eastAsia="Arial" w:hAnsi="Arial"/>
                <w:sz w:val="18"/>
                <w:szCs w:val="18"/>
              </w:rPr>
              <w:t xml:space="preserve">audited,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Currency / Unit</w:t>
            </w:r>
          </w:p>
        </w:tc>
        <w:tc>
          <w:tcPr>
            <w:tcW w:type="pct" w:w="70%"/>
            <w:tcMar>
              <w:top w:type="dxa" w:w="40"/>
              <w:left w:type="dxa" w:w="80"/>
              <w:bottom w:type="dxa" w:w="40"/>
              <w:right w:type="dxa" w:w="80"/>
            </w:tcMar>
          </w:tcPr>
          <w:p>
            <w:r>
              <w:rPr>
                <w:rFonts w:ascii="Arial" w:cs="Arial" w:eastAsia="Arial" w:hAnsi="Arial"/>
                <w:sz w:val="18"/>
                <w:szCs w:val="18"/>
              </w:rPr>
              <w:t xml:space="preserve">QAR 000s</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Line item</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2026</w:t>
            </w:r>
          </w:p>
        </w:tc>
      </w:tr>
      <w:tr>
        <w:tc>
          <w:tcPr>
            <w:tcMar>
              <w:top w:type="dxa" w:w="40"/>
              <w:left w:type="dxa" w:w="80"/>
              <w:bottom w:type="dxa" w:w="40"/>
              <w:right w:type="dxa" w:w="80"/>
            </w:tcMar>
          </w:tcPr>
          <w:p>
            <w:r>
              <w:rPr>
                <w:rFonts w:ascii="Arial" w:cs="Arial" w:eastAsia="Arial" w:hAnsi="Arial"/>
                <w:sz w:val="18"/>
                <w:szCs w:val="18"/>
              </w:rPr>
              <w:t xml:space="preserve">Revenue</w:t>
            </w:r>
          </w:p>
        </w:tc>
        <w:tc>
          <w:tcPr>
            <w:tcMar>
              <w:top w:type="dxa" w:w="40"/>
              <w:left w:type="dxa" w:w="80"/>
              <w:bottom w:type="dxa" w:w="40"/>
              <w:right w:type="dxa" w:w="80"/>
            </w:tcMar>
          </w:tcPr>
          <w:p>
            <w:pPr>
              <w:jc w:val="right"/>
            </w:pPr>
            <w:r>
              <w:rPr>
                <w:rFonts w:ascii="Arial" w:cs="Arial" w:eastAsia="Arial" w:hAnsi="Arial"/>
                <w:sz w:val="18"/>
                <w:szCs w:val="18"/>
              </w:rPr>
              <w:t xml:space="preserve">1,094,013</w:t>
            </w:r>
          </w:p>
        </w:tc>
        <w:tc>
          <w:tcPr>
            <w:tcMar>
              <w:top w:type="dxa" w:w="40"/>
              <w:left w:type="dxa" w:w="80"/>
              <w:bottom w:type="dxa" w:w="40"/>
              <w:right w:type="dxa" w:w="80"/>
            </w:tcMar>
          </w:tcPr>
          <w:p>
            <w:pPr>
              <w:jc w:val="right"/>
            </w:pPr>
            <w:r>
              <w:rPr>
                <w:rFonts w:ascii="Arial" w:cs="Arial" w:eastAsia="Arial" w:hAnsi="Arial"/>
                <w:sz w:val="18"/>
                <w:szCs w:val="18"/>
              </w:rPr>
              <w:t xml:space="preserve">1,538,594</w:t>
            </w:r>
          </w:p>
        </w:tc>
        <w:tc>
          <w:tcPr>
            <w:tcMar>
              <w:top w:type="dxa" w:w="40"/>
              <w:left w:type="dxa" w:w="80"/>
              <w:bottom w:type="dxa" w:w="40"/>
              <w:right w:type="dxa" w:w="80"/>
            </w:tcMar>
          </w:tcPr>
          <w:p>
            <w:pPr>
              <w:jc w:val="right"/>
            </w:pPr>
            <w:r>
              <w:rPr>
                <w:rFonts w:ascii="Arial" w:cs="Arial" w:eastAsia="Arial" w:hAnsi="Arial"/>
                <w:sz w:val="18"/>
                <w:szCs w:val="18"/>
              </w:rPr>
              <w:t xml:space="preserve">404,776</w:t>
            </w:r>
          </w:p>
        </w:tc>
        <w:tc>
          <w:tcPr>
            <w:tcMar>
              <w:top w:type="dxa" w:w="40"/>
              <w:left w:type="dxa" w:w="80"/>
              <w:bottom w:type="dxa" w:w="40"/>
              <w:right w:type="dxa" w:w="80"/>
            </w:tcMar>
          </w:tcPr>
          <w:p>
            <w:pPr>
              <w:jc w:val="right"/>
            </w:pPr>
            <w:r>
              <w:rPr>
                <w:rFonts w:ascii="Arial" w:cs="Arial" w:eastAsia="Arial" w:hAnsi="Arial"/>
                <w:sz w:val="18"/>
                <w:szCs w:val="18"/>
              </w:rPr>
              <w:t xml:space="preserve">852,017</w:t>
            </w:r>
          </w:p>
        </w:tc>
        <w:tc>
          <w:tcPr>
            <w:tcMar>
              <w:top w:type="dxa" w:w="40"/>
              <w:left w:type="dxa" w:w="80"/>
              <w:bottom w:type="dxa" w:w="40"/>
              <w:right w:type="dxa" w:w="80"/>
            </w:tcMar>
          </w:tcPr>
          <w:p>
            <w:pPr>
              <w:jc w:val="right"/>
            </w:pPr>
            <w:r>
              <w:rPr>
                <w:rFonts w:ascii="Arial" w:cs="Arial" w:eastAsia="Arial" w:hAnsi="Arial"/>
                <w:sz w:val="18"/>
                <w:szCs w:val="18"/>
              </w:rPr>
              <w:t xml:space="preserve">1,228,134</w:t>
            </w:r>
          </w:p>
        </w:tc>
        <w:tc>
          <w:tcPr>
            <w:tcMar>
              <w:top w:type="dxa" w:w="40"/>
              <w:left w:type="dxa" w:w="80"/>
              <w:bottom w:type="dxa" w:w="40"/>
              <w:right w:type="dxa" w:w="80"/>
            </w:tcMar>
          </w:tcPr>
          <w:p>
            <w:pPr>
              <w:jc w:val="right"/>
            </w:pPr>
            <w:r>
              <w:rPr>
                <w:rFonts w:ascii="Arial" w:cs="Arial" w:eastAsia="Arial" w:hAnsi="Arial"/>
                <w:sz w:val="18"/>
                <w:szCs w:val="18"/>
              </w:rPr>
              <w:t xml:space="preserve">1,683,946</w:t>
            </w:r>
          </w:p>
        </w:tc>
        <w:tc>
          <w:tcPr>
            <w:tcMar>
              <w:top w:type="dxa" w:w="40"/>
              <w:left w:type="dxa" w:w="80"/>
              <w:bottom w:type="dxa" w:w="40"/>
              <w:right w:type="dxa" w:w="80"/>
            </w:tcMar>
          </w:tcPr>
          <w:p>
            <w:pPr>
              <w:jc w:val="right"/>
            </w:pPr>
            <w:r>
              <w:rPr>
                <w:rFonts w:ascii="Arial" w:cs="Arial" w:eastAsia="Arial" w:hAnsi="Arial"/>
                <w:sz w:val="18"/>
                <w:szCs w:val="18"/>
              </w:rPr>
              <w:t xml:space="preserve">398,519</w:t>
            </w:r>
          </w:p>
        </w:tc>
        <w:tc>
          <w:tcPr>
            <w:tcMar>
              <w:top w:type="dxa" w:w="40"/>
              <w:left w:type="dxa" w:w="80"/>
              <w:bottom w:type="dxa" w:w="40"/>
              <w:right w:type="dxa" w:w="80"/>
            </w:tcMar>
          </w:tcPr>
          <w:p>
            <w:pPr>
              <w:jc w:val="right"/>
            </w:pPr>
            <w:r>
              <w:rPr>
                <w:rFonts w:ascii="Arial" w:cs="Arial" w:eastAsia="Arial" w:hAnsi="Arial"/>
                <w:sz w:val="18"/>
                <w:szCs w:val="18"/>
              </w:rPr>
              <w:t xml:space="preserve">838,159</w:t>
            </w:r>
          </w:p>
        </w:tc>
        <w:tc>
          <w:tcPr>
            <w:tcMar>
              <w:top w:type="dxa" w:w="40"/>
              <w:left w:type="dxa" w:w="80"/>
              <w:bottom w:type="dxa" w:w="40"/>
              <w:right w:type="dxa" w:w="80"/>
            </w:tcMar>
          </w:tcPr>
          <w:p>
            <w:pPr>
              <w:jc w:val="right"/>
            </w:pPr>
            <w:r>
              <w:rPr>
                <w:rFonts w:ascii="Arial" w:cs="Arial" w:eastAsia="Arial" w:hAnsi="Arial"/>
                <w:sz w:val="18"/>
                <w:szCs w:val="18"/>
              </w:rPr>
              <w:t xml:space="preserve">439,070</w:t>
            </w:r>
          </w:p>
        </w:tc>
        <w:tc>
          <w:tcPr>
            <w:tcMar>
              <w:top w:type="dxa" w:w="40"/>
              <w:left w:type="dxa" w:w="80"/>
              <w:bottom w:type="dxa" w:w="40"/>
              <w:right w:type="dxa" w:w="80"/>
            </w:tcMar>
          </w:tcPr>
          <w:p>
            <w:pPr>
              <w:jc w:val="right"/>
            </w:pPr>
            <w:r>
              <w:rPr>
                <w:rFonts w:ascii="Arial" w:cs="Arial" w:eastAsia="Arial" w:hAnsi="Arial"/>
                <w:sz w:val="18"/>
                <w:szCs w:val="18"/>
              </w:rPr>
              <w:t xml:space="preserve">1,316,680</w:t>
            </w:r>
          </w:p>
        </w:tc>
        <w:tc>
          <w:tcPr>
            <w:tcMar>
              <w:top w:type="dxa" w:w="40"/>
              <w:left w:type="dxa" w:w="80"/>
              <w:bottom w:type="dxa" w:w="40"/>
              <w:right w:type="dxa" w:w="80"/>
            </w:tcMar>
          </w:tcPr>
          <w:p>
            <w:pPr>
              <w:jc w:val="right"/>
            </w:pPr>
            <w:r>
              <w:rPr>
                <w:rFonts w:ascii="Arial" w:cs="Arial" w:eastAsia="Arial" w:hAnsi="Arial"/>
                <w:sz w:val="18"/>
                <w:szCs w:val="18"/>
              </w:rPr>
              <w:t xml:space="preserve">1,866,204</w:t>
            </w:r>
          </w:p>
        </w:tc>
        <w:tc>
          <w:tcPr>
            <w:tcMar>
              <w:top w:type="dxa" w:w="40"/>
              <w:left w:type="dxa" w:w="80"/>
              <w:bottom w:type="dxa" w:w="40"/>
              <w:right w:type="dxa" w:w="80"/>
            </w:tcMar>
          </w:tcPr>
          <w:p>
            <w:pPr>
              <w:jc w:val="right"/>
            </w:pPr>
            <w:r>
              <w:rPr>
                <w:rFonts w:ascii="Arial" w:cs="Arial" w:eastAsia="Arial" w:hAnsi="Arial"/>
                <w:sz w:val="18"/>
                <w:szCs w:val="18"/>
              </w:rPr>
              <w:t xml:space="preserve">430,571</w:t>
            </w:r>
          </w:p>
        </w:tc>
        <w:tc>
          <w:tcPr>
            <w:tcMar>
              <w:top w:type="dxa" w:w="40"/>
              <w:left w:type="dxa" w:w="80"/>
              <w:bottom w:type="dxa" w:w="40"/>
              <w:right w:type="dxa" w:w="80"/>
            </w:tcMar>
          </w:tcPr>
          <w:p>
            <w:pPr>
              <w:jc w:val="right"/>
            </w:pPr>
            <w:r>
              <w:rPr>
                <w:rFonts w:ascii="Arial" w:cs="Arial" w:eastAsia="Arial" w:hAnsi="Arial"/>
                <w:sz w:val="18"/>
                <w:szCs w:val="18"/>
              </w:rPr>
              <w:t xml:space="preserve">866,754</w:t>
            </w:r>
          </w:p>
        </w:tc>
      </w:tr>
      <w:tr>
        <w:tc>
          <w:tcPr>
            <w:tcMar>
              <w:top w:type="dxa" w:w="40"/>
              <w:left w:type="dxa" w:w="80"/>
              <w:bottom w:type="dxa" w:w="40"/>
              <w:right w:type="dxa" w:w="80"/>
            </w:tcMar>
          </w:tcPr>
          <w:p>
            <w:r>
              <w:rPr>
                <w:rFonts w:ascii="Arial" w:cs="Arial" w:eastAsia="Arial" w:hAnsi="Arial"/>
                <w:sz w:val="18"/>
                <w:szCs w:val="18"/>
              </w:rPr>
              <w:t xml:space="preserve">Total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4,457,943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4,449,036</w:t>
            </w:r>
          </w:p>
        </w:tc>
        <w:tc>
          <w:tcPr>
            <w:tcMar>
              <w:top w:type="dxa" w:w="40"/>
              <w:left w:type="dxa" w:w="80"/>
              <w:bottom w:type="dxa" w:w="40"/>
              <w:right w:type="dxa" w:w="80"/>
            </w:tcMar>
          </w:tcPr>
          <w:p>
            <w:pPr>
              <w:jc w:val="right"/>
            </w:pPr>
            <w:r>
              <w:rPr>
                <w:rFonts w:ascii="Arial" w:cs="Arial" w:eastAsia="Arial" w:hAnsi="Arial"/>
                <w:sz w:val="18"/>
                <w:szCs w:val="18"/>
              </w:rPr>
              <w:t xml:space="preserve">4,532,487</w:t>
            </w:r>
          </w:p>
        </w:tc>
        <w:tc>
          <w:tcPr>
            <w:tcMar>
              <w:top w:type="dxa" w:w="40"/>
              <w:left w:type="dxa" w:w="80"/>
              <w:bottom w:type="dxa" w:w="40"/>
              <w:right w:type="dxa" w:w="80"/>
            </w:tcMar>
          </w:tcPr>
          <w:p>
            <w:pPr>
              <w:jc w:val="right"/>
            </w:pPr>
            <w:r>
              <w:rPr>
                <w:rFonts w:ascii="Arial" w:cs="Arial" w:eastAsia="Arial" w:hAnsi="Arial"/>
                <w:sz w:val="18"/>
                <w:szCs w:val="18"/>
              </w:rPr>
              <w:t xml:space="preserve">4,529,151</w:t>
            </w:r>
          </w:p>
        </w:tc>
        <w:tc>
          <w:tcPr>
            <w:tcMar>
              <w:top w:type="dxa" w:w="40"/>
              <w:left w:type="dxa" w:w="80"/>
              <w:bottom w:type="dxa" w:w="40"/>
              <w:right w:type="dxa" w:w="80"/>
            </w:tcMar>
          </w:tcPr>
          <w:p>
            <w:pPr>
              <w:jc w:val="right"/>
            </w:pPr>
            <w:r>
              <w:rPr>
                <w:rFonts w:ascii="Arial" w:cs="Arial" w:eastAsia="Arial" w:hAnsi="Arial"/>
                <w:sz w:val="18"/>
                <w:szCs w:val="18"/>
              </w:rPr>
              <w:t xml:space="preserve">4,589,197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4,630,987</w:t>
            </w:r>
          </w:p>
        </w:tc>
        <w:tc>
          <w:tcPr>
            <w:tcMar>
              <w:top w:type="dxa" w:w="40"/>
              <w:left w:type="dxa" w:w="80"/>
              <w:bottom w:type="dxa" w:w="40"/>
              <w:right w:type="dxa" w:w="80"/>
            </w:tcMar>
          </w:tcPr>
          <w:p>
            <w:pPr>
              <w:jc w:val="right"/>
            </w:pPr>
            <w:r>
              <w:rPr>
                <w:rFonts w:ascii="Arial" w:cs="Arial" w:eastAsia="Arial" w:hAnsi="Arial"/>
                <w:sz w:val="18"/>
                <w:szCs w:val="18"/>
              </w:rPr>
              <w:t xml:space="preserve">4,689,477</w:t>
            </w:r>
          </w:p>
        </w:tc>
        <w:tc>
          <w:tcPr>
            <w:tcMar>
              <w:top w:type="dxa" w:w="40"/>
              <w:left w:type="dxa" w:w="80"/>
              <w:bottom w:type="dxa" w:w="40"/>
              <w:right w:type="dxa" w:w="80"/>
            </w:tcMar>
          </w:tcPr>
          <w:p>
            <w:pPr>
              <w:jc w:val="right"/>
            </w:pPr>
            <w:r>
              <w:rPr>
                <w:rFonts w:ascii="Arial" w:cs="Arial" w:eastAsia="Arial" w:hAnsi="Arial"/>
                <w:sz w:val="18"/>
                <w:szCs w:val="18"/>
              </w:rPr>
              <w:t xml:space="preserve">4,637,056</w:t>
            </w:r>
          </w:p>
        </w:tc>
        <w:tc>
          <w:tcPr>
            <w:tcMar>
              <w:top w:type="dxa" w:w="40"/>
              <w:left w:type="dxa" w:w="80"/>
              <w:bottom w:type="dxa" w:w="40"/>
              <w:right w:type="dxa" w:w="80"/>
            </w:tcMar>
          </w:tcPr>
          <w:p>
            <w:pPr>
              <w:jc w:val="right"/>
            </w:pPr>
            <w:r>
              <w:rPr>
                <w:rFonts w:ascii="Arial" w:cs="Arial" w:eastAsia="Arial" w:hAnsi="Arial"/>
                <w:sz w:val="18"/>
                <w:szCs w:val="18"/>
              </w:rPr>
              <w:t xml:space="preserve">4,474,136</w:t>
            </w:r>
          </w:p>
        </w:tc>
      </w:tr>
      <w:tr>
        <w:tc>
          <w:tcPr>
            <w:tcMar>
              <w:top w:type="dxa" w:w="40"/>
              <w:left w:type="dxa" w:w="80"/>
              <w:bottom w:type="dxa" w:w="40"/>
              <w:right w:type="dxa" w:w="80"/>
            </w:tcMar>
          </w:tcPr>
          <w:p>
            <w:r>
              <w:rPr>
                <w:rFonts w:ascii="Arial" w:cs="Arial" w:eastAsia="Arial" w:hAnsi="Arial"/>
                <w:sz w:val="18"/>
                <w:szCs w:val="18"/>
              </w:rPr>
              <w:t xml:space="preserve">Cost of sales</w:t>
            </w:r>
          </w:p>
        </w:tc>
        <w:tc>
          <w:tcPr>
            <w:tcMar>
              <w:top w:type="dxa" w:w="40"/>
              <w:left w:type="dxa" w:w="80"/>
              <w:bottom w:type="dxa" w:w="40"/>
              <w:right w:type="dxa" w:w="80"/>
            </w:tcMar>
          </w:tcPr>
          <w:p>
            <w:pPr>
              <w:jc w:val="right"/>
            </w:pPr>
            <w:r>
              <w:rPr>
                <w:rFonts w:ascii="Arial" w:cs="Arial" w:eastAsia="Arial" w:hAnsi="Arial"/>
                <w:sz w:val="18"/>
                <w:szCs w:val="18"/>
              </w:rPr>
              <w:t xml:space="preserve">-761,405</w:t>
            </w:r>
          </w:p>
        </w:tc>
        <w:tc>
          <w:tcPr>
            <w:tcMar>
              <w:top w:type="dxa" w:w="40"/>
              <w:left w:type="dxa" w:w="80"/>
              <w:bottom w:type="dxa" w:w="40"/>
              <w:right w:type="dxa" w:w="80"/>
            </w:tcMar>
          </w:tcPr>
          <w:p>
            <w:pPr>
              <w:jc w:val="right"/>
            </w:pPr>
            <w:r>
              <w:rPr>
                <w:rFonts w:ascii="Arial" w:cs="Arial" w:eastAsia="Arial" w:hAnsi="Arial"/>
                <w:sz w:val="18"/>
                <w:szCs w:val="18"/>
              </w:rPr>
              <w:t xml:space="preserve">-1,078,947</w:t>
            </w:r>
          </w:p>
        </w:tc>
        <w:tc>
          <w:tcPr>
            <w:tcMar>
              <w:top w:type="dxa" w:w="40"/>
              <w:left w:type="dxa" w:w="80"/>
              <w:bottom w:type="dxa" w:w="40"/>
              <w:right w:type="dxa" w:w="80"/>
            </w:tcMar>
          </w:tcPr>
          <w:p>
            <w:pPr>
              <w:jc w:val="right"/>
            </w:pPr>
            <w:r>
              <w:rPr>
                <w:rFonts w:ascii="Arial" w:cs="Arial" w:eastAsia="Arial" w:hAnsi="Arial"/>
                <w:sz w:val="18"/>
                <w:szCs w:val="18"/>
              </w:rPr>
              <w:t xml:space="preserve">-287,693</w:t>
            </w:r>
          </w:p>
        </w:tc>
        <w:tc>
          <w:tcPr>
            <w:tcMar>
              <w:top w:type="dxa" w:w="40"/>
              <w:left w:type="dxa" w:w="80"/>
              <w:bottom w:type="dxa" w:w="40"/>
              <w:right w:type="dxa" w:w="80"/>
            </w:tcMar>
          </w:tcPr>
          <w:p>
            <w:pPr>
              <w:jc w:val="right"/>
            </w:pPr>
            <w:r>
              <w:rPr>
                <w:rFonts w:ascii="Arial" w:cs="Arial" w:eastAsia="Arial" w:hAnsi="Arial"/>
                <w:sz w:val="18"/>
                <w:szCs w:val="18"/>
              </w:rPr>
              <w:t xml:space="preserve">-610,907</w:t>
            </w:r>
          </w:p>
        </w:tc>
        <w:tc>
          <w:tcPr>
            <w:tcMar>
              <w:top w:type="dxa" w:w="40"/>
              <w:left w:type="dxa" w:w="80"/>
              <w:bottom w:type="dxa" w:w="40"/>
              <w:right w:type="dxa" w:w="80"/>
            </w:tcMar>
          </w:tcPr>
          <w:p>
            <w:pPr>
              <w:jc w:val="right"/>
            </w:pPr>
            <w:r>
              <w:rPr>
                <w:rFonts w:ascii="Arial" w:cs="Arial" w:eastAsia="Arial" w:hAnsi="Arial"/>
                <w:sz w:val="18"/>
                <w:szCs w:val="18"/>
              </w:rPr>
              <w:t xml:space="preserve">-883,319</w:t>
            </w:r>
          </w:p>
        </w:tc>
        <w:tc>
          <w:tcPr>
            <w:tcMar>
              <w:top w:type="dxa" w:w="40"/>
              <w:left w:type="dxa" w:w="80"/>
              <w:bottom w:type="dxa" w:w="40"/>
              <w:right w:type="dxa" w:w="80"/>
            </w:tcMar>
          </w:tcPr>
          <w:p>
            <w:pPr>
              <w:jc w:val="right"/>
            </w:pPr>
            <w:r>
              <w:rPr>
                <w:rFonts w:ascii="Arial" w:cs="Arial" w:eastAsia="Arial" w:hAnsi="Arial"/>
                <w:sz w:val="18"/>
                <w:szCs w:val="18"/>
              </w:rPr>
              <w:t xml:space="preserve">-1,216,002</w:t>
            </w:r>
          </w:p>
        </w:tc>
        <w:tc>
          <w:tcPr>
            <w:tcMar>
              <w:top w:type="dxa" w:w="40"/>
              <w:left w:type="dxa" w:w="80"/>
              <w:bottom w:type="dxa" w:w="40"/>
              <w:right w:type="dxa" w:w="80"/>
            </w:tcMar>
          </w:tcPr>
          <w:p>
            <w:pPr>
              <w:jc w:val="right"/>
            </w:pPr>
            <w:r>
              <w:rPr>
                <w:rFonts w:ascii="Arial" w:cs="Arial" w:eastAsia="Arial" w:hAnsi="Arial"/>
                <w:sz w:val="18"/>
                <w:szCs w:val="18"/>
              </w:rPr>
              <w:t xml:space="preserve">-281,011</w:t>
            </w:r>
          </w:p>
        </w:tc>
        <w:tc>
          <w:tcPr>
            <w:tcMar>
              <w:top w:type="dxa" w:w="40"/>
              <w:left w:type="dxa" w:w="80"/>
              <w:bottom w:type="dxa" w:w="40"/>
              <w:right w:type="dxa" w:w="80"/>
            </w:tcMar>
          </w:tcPr>
          <w:p>
            <w:pPr>
              <w:jc w:val="right"/>
            </w:pPr>
            <w:r>
              <w:rPr>
                <w:rFonts w:ascii="Arial" w:cs="Arial" w:eastAsia="Arial" w:hAnsi="Arial"/>
                <w:sz w:val="18"/>
                <w:szCs w:val="18"/>
              </w:rPr>
              <w:t xml:space="preserve">-602,530</w:t>
            </w:r>
          </w:p>
        </w:tc>
        <w:tc>
          <w:tcPr>
            <w:tcMar>
              <w:top w:type="dxa" w:w="40"/>
              <w:left w:type="dxa" w:w="80"/>
              <w:bottom w:type="dxa" w:w="40"/>
              <w:right w:type="dxa" w:w="80"/>
            </w:tcMar>
          </w:tcPr>
          <w:p>
            <w:pPr>
              <w:jc w:val="right"/>
            </w:pPr>
            <w:r>
              <w:rPr>
                <w:rFonts w:ascii="Arial" w:cs="Arial" w:eastAsia="Arial" w:hAnsi="Arial"/>
                <w:sz w:val="18"/>
                <w:szCs w:val="18"/>
              </w:rPr>
              <w:t xml:space="preserve">-321,628</w:t>
            </w:r>
          </w:p>
        </w:tc>
        <w:tc>
          <w:tcPr>
            <w:tcMar>
              <w:top w:type="dxa" w:w="40"/>
              <w:left w:type="dxa" w:w="80"/>
              <w:bottom w:type="dxa" w:w="40"/>
              <w:right w:type="dxa" w:w="80"/>
            </w:tcMar>
          </w:tcPr>
          <w:p>
            <w:pPr>
              <w:jc w:val="right"/>
            </w:pPr>
            <w:r>
              <w:rPr>
                <w:rFonts w:ascii="Arial" w:cs="Arial" w:eastAsia="Arial" w:hAnsi="Arial"/>
                <w:sz w:val="18"/>
                <w:szCs w:val="18"/>
              </w:rPr>
              <w:t xml:space="preserve">-956,586</w:t>
            </w:r>
          </w:p>
        </w:tc>
        <w:tc>
          <w:tcPr>
            <w:tcMar>
              <w:top w:type="dxa" w:w="40"/>
              <w:left w:type="dxa" w:w="80"/>
              <w:bottom w:type="dxa" w:w="40"/>
              <w:right w:type="dxa" w:w="80"/>
            </w:tcMar>
          </w:tcPr>
          <w:p>
            <w:pPr>
              <w:jc w:val="right"/>
            </w:pPr>
            <w:r>
              <w:rPr>
                <w:rFonts w:ascii="Arial" w:cs="Arial" w:eastAsia="Arial" w:hAnsi="Arial"/>
                <w:sz w:val="18"/>
                <w:szCs w:val="18"/>
              </w:rPr>
              <w:t xml:space="preserve">-1,363,351</w:t>
            </w:r>
          </w:p>
        </w:tc>
        <w:tc>
          <w:tcPr>
            <w:tcMar>
              <w:top w:type="dxa" w:w="40"/>
              <w:left w:type="dxa" w:w="80"/>
              <w:bottom w:type="dxa" w:w="40"/>
              <w:right w:type="dxa" w:w="80"/>
            </w:tcMar>
          </w:tcPr>
          <w:p>
            <w:pPr>
              <w:jc w:val="right"/>
            </w:pPr>
            <w:r>
              <w:rPr>
                <w:rFonts w:ascii="Arial" w:cs="Arial" w:eastAsia="Arial" w:hAnsi="Arial"/>
                <w:sz w:val="18"/>
                <w:szCs w:val="18"/>
              </w:rPr>
              <w:t xml:space="preserve">-305,915</w:t>
            </w:r>
          </w:p>
        </w:tc>
        <w:tc>
          <w:tcPr>
            <w:tcMar>
              <w:top w:type="dxa" w:w="40"/>
              <w:left w:type="dxa" w:w="80"/>
              <w:bottom w:type="dxa" w:w="40"/>
              <w:right w:type="dxa" w:w="80"/>
            </w:tcMar>
          </w:tcPr>
          <w:p>
            <w:pPr>
              <w:jc w:val="right"/>
            </w:pPr>
            <w:r>
              <w:rPr>
                <w:rFonts w:ascii="Arial" w:cs="Arial" w:eastAsia="Arial" w:hAnsi="Arial"/>
                <w:sz w:val="18"/>
                <w:szCs w:val="18"/>
              </w:rPr>
              <w:t xml:space="preserve">-614,942</w:t>
            </w:r>
          </w:p>
        </w:tc>
      </w:tr>
      <w:tr>
        <w:tc>
          <w:tcPr>
            <w:tcMar>
              <w:top w:type="dxa" w:w="40"/>
              <w:left w:type="dxa" w:w="80"/>
              <w:bottom w:type="dxa" w:w="40"/>
              <w:right w:type="dxa" w:w="80"/>
            </w:tcMar>
          </w:tcPr>
          <w:p>
            <w:r>
              <w:rPr>
                <w:rFonts w:ascii="Arial" w:cs="Arial" w:eastAsia="Arial" w:hAnsi="Arial"/>
                <w:sz w:val="18"/>
                <w:szCs w:val="18"/>
              </w:rPr>
              <w:t xml:space="preserve">Current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1,442,012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1,371,805</w:t>
            </w:r>
          </w:p>
        </w:tc>
        <w:tc>
          <w:tcPr>
            <w:tcMar>
              <w:top w:type="dxa" w:w="40"/>
              <w:left w:type="dxa" w:w="80"/>
              <w:bottom w:type="dxa" w:w="40"/>
              <w:right w:type="dxa" w:w="80"/>
            </w:tcMar>
          </w:tcPr>
          <w:p>
            <w:pPr>
              <w:jc w:val="right"/>
            </w:pPr>
            <w:r>
              <w:rPr>
                <w:rFonts w:ascii="Arial" w:cs="Arial" w:eastAsia="Arial" w:hAnsi="Arial"/>
                <w:sz w:val="18"/>
                <w:szCs w:val="18"/>
              </w:rPr>
              <w:t xml:space="preserve">1,418,632</w:t>
            </w:r>
          </w:p>
        </w:tc>
        <w:tc>
          <w:tcPr>
            <w:tcMar>
              <w:top w:type="dxa" w:w="40"/>
              <w:left w:type="dxa" w:w="80"/>
              <w:bottom w:type="dxa" w:w="40"/>
              <w:right w:type="dxa" w:w="80"/>
            </w:tcMar>
          </w:tcPr>
          <w:p>
            <w:pPr>
              <w:jc w:val="right"/>
            </w:pPr>
            <w:r>
              <w:rPr>
                <w:rFonts w:ascii="Arial" w:cs="Arial" w:eastAsia="Arial" w:hAnsi="Arial"/>
                <w:sz w:val="18"/>
                <w:szCs w:val="18"/>
              </w:rPr>
              <w:t xml:space="preserve">1,389,955</w:t>
            </w:r>
          </w:p>
        </w:tc>
        <w:tc>
          <w:tcPr>
            <w:tcMar>
              <w:top w:type="dxa" w:w="40"/>
              <w:left w:type="dxa" w:w="80"/>
              <w:bottom w:type="dxa" w:w="40"/>
              <w:right w:type="dxa" w:w="80"/>
            </w:tcMar>
          </w:tcPr>
          <w:p>
            <w:pPr>
              <w:jc w:val="right"/>
            </w:pPr>
            <w:r>
              <w:rPr>
                <w:rFonts w:ascii="Arial" w:cs="Arial" w:eastAsia="Arial" w:hAnsi="Arial"/>
                <w:sz w:val="18"/>
                <w:szCs w:val="18"/>
              </w:rPr>
              <w:t xml:space="preserve">1,437,536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1,464,271</w:t>
            </w:r>
          </w:p>
        </w:tc>
        <w:tc>
          <w:tcPr>
            <w:tcMar>
              <w:top w:type="dxa" w:w="40"/>
              <w:left w:type="dxa" w:w="80"/>
              <w:bottom w:type="dxa" w:w="40"/>
              <w:right w:type="dxa" w:w="80"/>
            </w:tcMar>
          </w:tcPr>
          <w:p>
            <w:pPr>
              <w:jc w:val="right"/>
            </w:pPr>
            <w:r>
              <w:rPr>
                <w:rFonts w:ascii="Arial" w:cs="Arial" w:eastAsia="Arial" w:hAnsi="Arial"/>
                <w:sz w:val="18"/>
                <w:szCs w:val="18"/>
              </w:rPr>
              <w:t xml:space="preserve">1,547,938</w:t>
            </w:r>
          </w:p>
        </w:tc>
        <w:tc>
          <w:tcPr>
            <w:tcMar>
              <w:top w:type="dxa" w:w="40"/>
              <w:left w:type="dxa" w:w="80"/>
              <w:bottom w:type="dxa" w:w="40"/>
              <w:right w:type="dxa" w:w="80"/>
            </w:tcMar>
          </w:tcPr>
          <w:p>
            <w:pPr>
              <w:jc w:val="right"/>
            </w:pPr>
            <w:r>
              <w:rPr>
                <w:rFonts w:ascii="Arial" w:cs="Arial" w:eastAsia="Arial" w:hAnsi="Arial"/>
                <w:sz w:val="18"/>
                <w:szCs w:val="18"/>
              </w:rPr>
              <w:t xml:space="preserve">1,497,920</w:t>
            </w:r>
          </w:p>
        </w:tc>
        <w:tc>
          <w:tcPr>
            <w:tcMar>
              <w:top w:type="dxa" w:w="40"/>
              <w:left w:type="dxa" w:w="80"/>
              <w:bottom w:type="dxa" w:w="40"/>
              <w:right w:type="dxa" w:w="80"/>
            </w:tcMar>
          </w:tcPr>
          <w:p>
            <w:pPr>
              <w:jc w:val="right"/>
            </w:pPr>
            <w:r>
              <w:rPr>
                <w:rFonts w:ascii="Arial" w:cs="Arial" w:eastAsia="Arial" w:hAnsi="Arial"/>
                <w:sz w:val="18"/>
                <w:szCs w:val="18"/>
              </w:rPr>
              <w:t xml:space="preserve">1,327,334</w:t>
            </w:r>
          </w:p>
        </w:tc>
      </w:tr>
      <w:tr>
        <w:tc>
          <w:tcPr>
            <w:tcMar>
              <w:top w:type="dxa" w:w="40"/>
              <w:left w:type="dxa" w:w="80"/>
              <w:bottom w:type="dxa" w:w="40"/>
              <w:right w:type="dxa" w:w="80"/>
            </w:tcMar>
          </w:tcPr>
          <w:p>
            <w:r>
              <w:rPr>
                <w:rFonts w:ascii="Arial" w:cs="Arial" w:eastAsia="Arial" w:hAnsi="Arial"/>
                <w:sz w:val="18"/>
                <w:szCs w:val="18"/>
              </w:rPr>
              <w:t xml:space="preserve">Gross profit</w:t>
            </w:r>
          </w:p>
        </w:tc>
        <w:tc>
          <w:tcPr>
            <w:tcMar>
              <w:top w:type="dxa" w:w="40"/>
              <w:left w:type="dxa" w:w="80"/>
              <w:bottom w:type="dxa" w:w="40"/>
              <w:right w:type="dxa" w:w="80"/>
            </w:tcMar>
          </w:tcPr>
          <w:p>
            <w:pPr>
              <w:jc w:val="right"/>
            </w:pPr>
            <w:r>
              <w:rPr>
                <w:rFonts w:ascii="Arial" w:cs="Arial" w:eastAsia="Arial" w:hAnsi="Arial"/>
                <w:sz w:val="18"/>
                <w:szCs w:val="18"/>
              </w:rPr>
              <w:t xml:space="preserve">332,608</w:t>
            </w:r>
          </w:p>
        </w:tc>
        <w:tc>
          <w:tcPr>
            <w:tcMar>
              <w:top w:type="dxa" w:w="40"/>
              <w:left w:type="dxa" w:w="80"/>
              <w:bottom w:type="dxa" w:w="40"/>
              <w:right w:type="dxa" w:w="80"/>
            </w:tcMar>
          </w:tcPr>
          <w:p>
            <w:pPr>
              <w:jc w:val="right"/>
            </w:pPr>
            <w:r>
              <w:rPr>
                <w:rFonts w:ascii="Arial" w:cs="Arial" w:eastAsia="Arial" w:hAnsi="Arial"/>
                <w:sz w:val="18"/>
                <w:szCs w:val="18"/>
              </w:rPr>
              <w:t xml:space="preserve">459,646</w:t>
            </w:r>
          </w:p>
        </w:tc>
        <w:tc>
          <w:tcPr>
            <w:tcMar>
              <w:top w:type="dxa" w:w="40"/>
              <w:left w:type="dxa" w:w="80"/>
              <w:bottom w:type="dxa" w:w="40"/>
              <w:right w:type="dxa" w:w="80"/>
            </w:tcMar>
          </w:tcPr>
          <w:p>
            <w:pPr>
              <w:jc w:val="right"/>
            </w:pPr>
            <w:r>
              <w:rPr>
                <w:rFonts w:ascii="Arial" w:cs="Arial" w:eastAsia="Arial" w:hAnsi="Arial"/>
                <w:sz w:val="18"/>
                <w:szCs w:val="18"/>
              </w:rPr>
              <w:t xml:space="preserve">117,083</w:t>
            </w:r>
          </w:p>
        </w:tc>
        <w:tc>
          <w:tcPr>
            <w:tcMar>
              <w:top w:type="dxa" w:w="40"/>
              <w:left w:type="dxa" w:w="80"/>
              <w:bottom w:type="dxa" w:w="40"/>
              <w:right w:type="dxa" w:w="80"/>
            </w:tcMar>
          </w:tcPr>
          <w:p>
            <w:pPr>
              <w:jc w:val="right"/>
            </w:pPr>
            <w:r>
              <w:rPr>
                <w:rFonts w:ascii="Arial" w:cs="Arial" w:eastAsia="Arial" w:hAnsi="Arial"/>
                <w:sz w:val="18"/>
                <w:szCs w:val="18"/>
              </w:rPr>
              <w:t xml:space="preserve">241,110</w:t>
            </w:r>
          </w:p>
        </w:tc>
        <w:tc>
          <w:tcPr>
            <w:tcMar>
              <w:top w:type="dxa" w:w="40"/>
              <w:left w:type="dxa" w:w="80"/>
              <w:bottom w:type="dxa" w:w="40"/>
              <w:right w:type="dxa" w:w="80"/>
            </w:tcMar>
          </w:tcPr>
          <w:p>
            <w:pPr>
              <w:jc w:val="right"/>
            </w:pPr>
            <w:r>
              <w:rPr>
                <w:rFonts w:ascii="Arial" w:cs="Arial" w:eastAsia="Arial" w:hAnsi="Arial"/>
                <w:sz w:val="18"/>
                <w:szCs w:val="18"/>
              </w:rPr>
              <w:t xml:space="preserve">344,816</w:t>
            </w:r>
          </w:p>
        </w:tc>
        <w:tc>
          <w:tcPr>
            <w:tcMar>
              <w:top w:type="dxa" w:w="40"/>
              <w:left w:type="dxa" w:w="80"/>
              <w:bottom w:type="dxa" w:w="40"/>
              <w:right w:type="dxa" w:w="80"/>
            </w:tcMar>
          </w:tcPr>
          <w:p>
            <w:pPr>
              <w:jc w:val="right"/>
            </w:pPr>
            <w:r>
              <w:rPr>
                <w:rFonts w:ascii="Arial" w:cs="Arial" w:eastAsia="Arial" w:hAnsi="Arial"/>
                <w:sz w:val="18"/>
                <w:szCs w:val="18"/>
              </w:rPr>
              <w:t xml:space="preserve">467,943</w:t>
            </w:r>
          </w:p>
        </w:tc>
        <w:tc>
          <w:tcPr>
            <w:tcMar>
              <w:top w:type="dxa" w:w="40"/>
              <w:left w:type="dxa" w:w="80"/>
              <w:bottom w:type="dxa" w:w="40"/>
              <w:right w:type="dxa" w:w="80"/>
            </w:tcMar>
          </w:tcPr>
          <w:p>
            <w:pPr>
              <w:jc w:val="right"/>
            </w:pPr>
            <w:r>
              <w:rPr>
                <w:rFonts w:ascii="Arial" w:cs="Arial" w:eastAsia="Arial" w:hAnsi="Arial"/>
                <w:sz w:val="18"/>
                <w:szCs w:val="18"/>
              </w:rPr>
              <w:t xml:space="preserve">117,508</w:t>
            </w:r>
          </w:p>
        </w:tc>
        <w:tc>
          <w:tcPr>
            <w:tcMar>
              <w:top w:type="dxa" w:w="40"/>
              <w:left w:type="dxa" w:w="80"/>
              <w:bottom w:type="dxa" w:w="40"/>
              <w:right w:type="dxa" w:w="80"/>
            </w:tcMar>
          </w:tcPr>
          <w:p>
            <w:pPr>
              <w:jc w:val="right"/>
            </w:pPr>
            <w:r>
              <w:rPr>
                <w:rFonts w:ascii="Arial" w:cs="Arial" w:eastAsia="Arial" w:hAnsi="Arial"/>
                <w:sz w:val="18"/>
                <w:szCs w:val="18"/>
              </w:rPr>
              <w:t xml:space="preserve">235,629</w:t>
            </w:r>
          </w:p>
        </w:tc>
        <w:tc>
          <w:tcPr>
            <w:tcMar>
              <w:top w:type="dxa" w:w="40"/>
              <w:left w:type="dxa" w:w="80"/>
              <w:bottom w:type="dxa" w:w="40"/>
              <w:right w:type="dxa" w:w="80"/>
            </w:tcMar>
          </w:tcPr>
          <w:p>
            <w:pPr>
              <w:jc w:val="right"/>
            </w:pPr>
            <w:r>
              <w:rPr>
                <w:rFonts w:ascii="Arial" w:cs="Arial" w:eastAsia="Arial" w:hAnsi="Arial"/>
                <w:sz w:val="18"/>
                <w:szCs w:val="18"/>
              </w:rPr>
              <w:t xml:space="preserve">117,443</w:t>
            </w:r>
          </w:p>
        </w:tc>
        <w:tc>
          <w:tcPr>
            <w:tcMar>
              <w:top w:type="dxa" w:w="40"/>
              <w:left w:type="dxa" w:w="80"/>
              <w:bottom w:type="dxa" w:w="40"/>
              <w:right w:type="dxa" w:w="80"/>
            </w:tcMar>
          </w:tcPr>
          <w:p>
            <w:pPr>
              <w:jc w:val="right"/>
            </w:pPr>
            <w:r>
              <w:rPr>
                <w:rFonts w:ascii="Arial" w:cs="Arial" w:eastAsia="Arial" w:hAnsi="Arial"/>
                <w:sz w:val="18"/>
                <w:szCs w:val="18"/>
              </w:rPr>
              <w:t xml:space="preserve">360,093</w:t>
            </w:r>
          </w:p>
        </w:tc>
        <w:tc>
          <w:tcPr>
            <w:tcMar>
              <w:top w:type="dxa" w:w="40"/>
              <w:left w:type="dxa" w:w="80"/>
              <w:bottom w:type="dxa" w:w="40"/>
              <w:right w:type="dxa" w:w="80"/>
            </w:tcMar>
          </w:tcPr>
          <w:p>
            <w:pPr>
              <w:jc w:val="right"/>
            </w:pPr>
            <w:r>
              <w:rPr>
                <w:rFonts w:ascii="Arial" w:cs="Arial" w:eastAsia="Arial" w:hAnsi="Arial"/>
                <w:sz w:val="18"/>
                <w:szCs w:val="18"/>
              </w:rPr>
              <w:t xml:space="preserve">502,853</w:t>
            </w:r>
          </w:p>
        </w:tc>
        <w:tc>
          <w:tcPr>
            <w:tcMar>
              <w:top w:type="dxa" w:w="40"/>
              <w:left w:type="dxa" w:w="80"/>
              <w:bottom w:type="dxa" w:w="40"/>
              <w:right w:type="dxa" w:w="80"/>
            </w:tcMar>
          </w:tcPr>
          <w:p>
            <w:pPr>
              <w:jc w:val="right"/>
            </w:pPr>
            <w:r>
              <w:rPr>
                <w:rFonts w:ascii="Arial" w:cs="Arial" w:eastAsia="Arial" w:hAnsi="Arial"/>
                <w:sz w:val="18"/>
                <w:szCs w:val="18"/>
              </w:rPr>
              <w:t xml:space="preserve">124,656</w:t>
            </w:r>
          </w:p>
        </w:tc>
        <w:tc>
          <w:tcPr>
            <w:tcMar>
              <w:top w:type="dxa" w:w="40"/>
              <w:left w:type="dxa" w:w="80"/>
              <w:bottom w:type="dxa" w:w="40"/>
              <w:right w:type="dxa" w:w="80"/>
            </w:tcMar>
          </w:tcPr>
          <w:p>
            <w:pPr>
              <w:jc w:val="right"/>
            </w:pPr>
            <w:r>
              <w:rPr>
                <w:rFonts w:ascii="Arial" w:cs="Arial" w:eastAsia="Arial" w:hAnsi="Arial"/>
                <w:sz w:val="18"/>
                <w:szCs w:val="18"/>
              </w:rPr>
              <w:t xml:space="preserve">251,812</w:t>
            </w:r>
          </w:p>
        </w:tc>
      </w:tr>
      <w:tr>
        <w:tc>
          <w:tcPr>
            <w:tcMar>
              <w:top w:type="dxa" w:w="40"/>
              <w:left w:type="dxa" w:w="80"/>
              <w:bottom w:type="dxa" w:w="40"/>
              <w:right w:type="dxa" w:w="80"/>
            </w:tcMar>
          </w:tcPr>
          <w:p>
            <w:r>
              <w:rPr>
                <w:rFonts w:ascii="Arial" w:cs="Arial" w:eastAsia="Arial" w:hAnsi="Arial"/>
                <w:sz w:val="18"/>
                <w:szCs w:val="18"/>
              </w:rPr>
              <w:t xml:space="preserve">Cash &amp; bank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257,995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184,610</w:t>
            </w:r>
          </w:p>
        </w:tc>
        <w:tc>
          <w:tcPr>
            <w:tcMar>
              <w:top w:type="dxa" w:w="40"/>
              <w:left w:type="dxa" w:w="80"/>
              <w:bottom w:type="dxa" w:w="40"/>
              <w:right w:type="dxa" w:w="80"/>
            </w:tcMar>
          </w:tcPr>
          <w:p>
            <w:pPr>
              <w:jc w:val="right"/>
            </w:pPr>
            <w:r>
              <w:rPr>
                <w:rFonts w:ascii="Arial" w:cs="Arial" w:eastAsia="Arial" w:hAnsi="Arial"/>
                <w:sz w:val="18"/>
                <w:szCs w:val="18"/>
              </w:rPr>
              <w:t xml:space="preserve">239,454</w:t>
            </w:r>
          </w:p>
        </w:tc>
        <w:tc>
          <w:tcPr>
            <w:tcMar>
              <w:top w:type="dxa" w:w="40"/>
              <w:left w:type="dxa" w:w="80"/>
              <w:bottom w:type="dxa" w:w="40"/>
              <w:right w:type="dxa" w:w="80"/>
            </w:tcMar>
          </w:tcPr>
          <w:p>
            <w:pPr>
              <w:jc w:val="right"/>
            </w:pPr>
            <w:r>
              <w:rPr>
                <w:rFonts w:ascii="Arial" w:cs="Arial" w:eastAsia="Arial" w:hAnsi="Arial"/>
                <w:sz w:val="18"/>
                <w:szCs w:val="18"/>
              </w:rPr>
              <w:t xml:space="preserve">193,089</w:t>
            </w:r>
          </w:p>
        </w:tc>
        <w:tc>
          <w:tcPr>
            <w:tcMar>
              <w:top w:type="dxa" w:w="40"/>
              <w:left w:type="dxa" w:w="80"/>
              <w:bottom w:type="dxa" w:w="40"/>
              <w:right w:type="dxa" w:w="80"/>
            </w:tcMar>
          </w:tcPr>
          <w:p>
            <w:pPr>
              <w:jc w:val="right"/>
            </w:pPr>
            <w:r>
              <w:rPr>
                <w:rFonts w:ascii="Arial" w:cs="Arial" w:eastAsia="Arial" w:hAnsi="Arial"/>
                <w:sz w:val="18"/>
                <w:szCs w:val="18"/>
              </w:rPr>
              <w:t xml:space="preserve">196,781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200,535</w:t>
            </w:r>
          </w:p>
        </w:tc>
        <w:tc>
          <w:tcPr>
            <w:tcMar>
              <w:top w:type="dxa" w:w="40"/>
              <w:left w:type="dxa" w:w="80"/>
              <w:bottom w:type="dxa" w:w="40"/>
              <w:right w:type="dxa" w:w="80"/>
            </w:tcMar>
          </w:tcPr>
          <w:p>
            <w:pPr>
              <w:jc w:val="right"/>
            </w:pPr>
            <w:r>
              <w:rPr>
                <w:rFonts w:ascii="Arial" w:cs="Arial" w:eastAsia="Arial" w:hAnsi="Arial"/>
                <w:sz w:val="18"/>
                <w:szCs w:val="18"/>
              </w:rPr>
              <w:t xml:space="preserve">265,465</w:t>
            </w:r>
          </w:p>
        </w:tc>
        <w:tc>
          <w:tcPr>
            <w:tcMar>
              <w:top w:type="dxa" w:w="40"/>
              <w:left w:type="dxa" w:w="80"/>
              <w:bottom w:type="dxa" w:w="40"/>
              <w:right w:type="dxa" w:w="80"/>
            </w:tcMar>
          </w:tcPr>
          <w:p>
            <w:pPr>
              <w:jc w:val="right"/>
            </w:pPr>
            <w:r>
              <w:rPr>
                <w:rFonts w:ascii="Arial" w:cs="Arial" w:eastAsia="Arial" w:hAnsi="Arial"/>
                <w:sz w:val="18"/>
                <w:szCs w:val="18"/>
              </w:rPr>
              <w:t xml:space="preserve">275,882</w:t>
            </w:r>
          </w:p>
        </w:tc>
        <w:tc>
          <w:tcPr>
            <w:tcMar>
              <w:top w:type="dxa" w:w="40"/>
              <w:left w:type="dxa" w:w="80"/>
              <w:bottom w:type="dxa" w:w="40"/>
              <w:right w:type="dxa" w:w="80"/>
            </w:tcMar>
          </w:tcPr>
          <w:p>
            <w:pPr>
              <w:jc w:val="right"/>
            </w:pPr>
            <w:r>
              <w:rPr>
                <w:rFonts w:ascii="Arial" w:cs="Arial" w:eastAsia="Arial" w:hAnsi="Arial"/>
                <w:sz w:val="18"/>
                <w:szCs w:val="18"/>
              </w:rPr>
              <w:t xml:space="preserve">99,768</w:t>
            </w:r>
          </w:p>
        </w:tc>
      </w:tr>
      <w:tr>
        <w:tc>
          <w:tcPr>
            <w:tcMar>
              <w:top w:type="dxa" w:w="40"/>
              <w:left w:type="dxa" w:w="80"/>
              <w:bottom w:type="dxa" w:w="40"/>
              <w:right w:type="dxa" w:w="80"/>
            </w:tcMar>
          </w:tcPr>
          <w:p>
            <w:r>
              <w:rPr>
                <w:rFonts w:ascii="Arial" w:cs="Arial" w:eastAsia="Arial" w:hAnsi="Arial"/>
                <w:sz w:val="18"/>
                <w:szCs w:val="18"/>
              </w:rPr>
              <w:t xml:space="preserve">Operating expenses</w:t>
            </w:r>
          </w:p>
        </w:tc>
        <w:tc>
          <w:tcPr>
            <w:tcMar>
              <w:top w:type="dxa" w:w="40"/>
              <w:left w:type="dxa" w:w="80"/>
              <w:bottom w:type="dxa" w:w="40"/>
              <w:right w:type="dxa" w:w="80"/>
            </w:tcMar>
          </w:tcPr>
          <w:p>
            <w:pPr>
              <w:jc w:val="right"/>
            </w:pPr>
            <w:r>
              <w:rPr>
                <w:rFonts w:ascii="Arial" w:cs="Arial" w:eastAsia="Arial" w:hAnsi="Arial"/>
                <w:sz w:val="18"/>
                <w:szCs w:val="18"/>
              </w:rPr>
              <w:t xml:space="preserve">-251,013</w:t>
            </w:r>
          </w:p>
        </w:tc>
        <w:tc>
          <w:tcPr>
            <w:tcMar>
              <w:top w:type="dxa" w:w="40"/>
              <w:left w:type="dxa" w:w="80"/>
              <w:bottom w:type="dxa" w:w="40"/>
              <w:right w:type="dxa" w:w="80"/>
            </w:tcMar>
          </w:tcPr>
          <w:p>
            <w:pPr>
              <w:jc w:val="right"/>
            </w:pPr>
            <w:r>
              <w:rPr>
                <w:rFonts w:ascii="Arial" w:cs="Arial" w:eastAsia="Arial" w:hAnsi="Arial"/>
                <w:sz w:val="18"/>
                <w:szCs w:val="18"/>
              </w:rPr>
              <w:t xml:space="preserve">-337,119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-165,977</w:t>
            </w:r>
          </w:p>
        </w:tc>
        <w:tc>
          <w:tcPr>
            <w:tcMar>
              <w:top w:type="dxa" w:w="40"/>
              <w:left w:type="dxa" w:w="80"/>
              <w:bottom w:type="dxa" w:w="40"/>
              <w:right w:type="dxa" w:w="80"/>
            </w:tcMar>
          </w:tcPr>
          <w:p>
            <w:pPr>
              <w:jc w:val="right"/>
            </w:pPr>
            <w:r>
              <w:rPr>
                <w:rFonts w:ascii="Arial" w:cs="Arial" w:eastAsia="Arial" w:hAnsi="Arial"/>
                <w:sz w:val="18"/>
                <w:szCs w:val="18"/>
              </w:rPr>
              <w:t xml:space="preserve">-222,772</w:t>
            </w:r>
          </w:p>
        </w:tc>
        <w:tc>
          <w:tcPr>
            <w:tcMar>
              <w:top w:type="dxa" w:w="40"/>
              <w:left w:type="dxa" w:w="80"/>
              <w:bottom w:type="dxa" w:w="40"/>
              <w:right w:type="dxa" w:w="80"/>
            </w:tcMar>
          </w:tcPr>
          <w:p>
            <w:pPr>
              <w:jc w:val="right"/>
            </w:pPr>
            <w:r>
              <w:rPr>
                <w:rFonts w:ascii="Arial" w:cs="Arial" w:eastAsia="Arial" w:hAnsi="Arial"/>
                <w:sz w:val="18"/>
                <w:szCs w:val="18"/>
              </w:rPr>
              <w:t xml:space="preserve">-300,256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-156,191</w:t>
            </w:r>
          </w:p>
        </w:tc>
        <w:tc>
          <w:tcPr>
            <w:tcMar>
              <w:top w:type="dxa" w:w="40"/>
              <w:left w:type="dxa" w:w="80"/>
              <w:bottom w:type="dxa" w:w="40"/>
              <w:right w:type="dxa" w:w="80"/>
            </w:tcMar>
          </w:tcPr>
          <w:p>
            <w:pPr>
              <w:jc w:val="right"/>
            </w:pPr>
            <w:r>
              <w:rPr>
                <w:rFonts w:ascii="Arial" w:cs="Arial" w:eastAsia="Arial" w:hAnsi="Arial"/>
                <w:sz w:val="18"/>
                <w:szCs w:val="18"/>
              </w:rPr>
              <w:t xml:space="preserve">-77,443</w:t>
            </w:r>
          </w:p>
        </w:tc>
        <w:tc>
          <w:tcPr>
            <w:tcMar>
              <w:top w:type="dxa" w:w="40"/>
              <w:left w:type="dxa" w:w="80"/>
              <w:bottom w:type="dxa" w:w="40"/>
              <w:right w:type="dxa" w:w="80"/>
            </w:tcMar>
          </w:tcPr>
          <w:p>
            <w:pPr>
              <w:jc w:val="right"/>
            </w:pPr>
            <w:r>
              <w:rPr>
                <w:rFonts w:ascii="Arial" w:cs="Arial" w:eastAsia="Arial" w:hAnsi="Arial"/>
                <w:sz w:val="18"/>
                <w:szCs w:val="18"/>
              </w:rPr>
              <w:t xml:space="preserve">-228,556</w:t>
            </w:r>
          </w:p>
        </w:tc>
        <w:tc>
          <w:tcPr>
            <w:tcMar>
              <w:top w:type="dxa" w:w="40"/>
              <w:left w:type="dxa" w:w="80"/>
              <w:bottom w:type="dxa" w:w="40"/>
              <w:right w:type="dxa" w:w="80"/>
            </w:tcMar>
          </w:tcPr>
          <w:p>
            <w:pPr>
              <w:jc w:val="right"/>
            </w:pPr>
            <w:r>
              <w:rPr>
                <w:rFonts w:ascii="Arial" w:cs="Arial" w:eastAsia="Arial" w:hAnsi="Arial"/>
                <w:sz w:val="18"/>
                <w:szCs w:val="18"/>
              </w:rPr>
              <w:t xml:space="preserve">-330,175</w:t>
            </w:r>
          </w:p>
        </w:tc>
        <w:tc>
          <w:tcPr>
            <w:tcMar>
              <w:top w:type="dxa" w:w="40"/>
              <w:left w:type="dxa" w:w="80"/>
              <w:bottom w:type="dxa" w:w="40"/>
              <w:right w:type="dxa" w:w="80"/>
            </w:tcMar>
          </w:tcPr>
          <w:p>
            <w:pPr>
              <w:jc w:val="right"/>
            </w:pPr>
            <w:r>
              <w:rPr>
                <w:rFonts w:ascii="Arial" w:cs="Arial" w:eastAsia="Arial" w:hAnsi="Arial"/>
                <w:sz w:val="18"/>
                <w:szCs w:val="18"/>
              </w:rPr>
              <w:t xml:space="preserve">-87,603</w:t>
            </w:r>
          </w:p>
        </w:tc>
        <w:tc>
          <w:tcPr>
            <w:tcMar>
              <w:top w:type="dxa" w:w="40"/>
              <w:left w:type="dxa" w:w="80"/>
              <w:bottom w:type="dxa" w:w="40"/>
              <w:right w:type="dxa" w:w="80"/>
            </w:tcMar>
          </w:tcPr>
          <w:p>
            <w:pPr>
              <w:jc w:val="right"/>
            </w:pPr>
            <w:r>
              <w:rPr>
                <w:rFonts w:ascii="Arial" w:cs="Arial" w:eastAsia="Arial" w:hAnsi="Arial"/>
                <w:sz w:val="18"/>
                <w:szCs w:val="18"/>
              </w:rPr>
              <w:t xml:space="preserve">-171,812</w:t>
            </w:r>
          </w:p>
        </w:tc>
      </w:tr>
      <w:tr>
        <w:tc>
          <w:tcPr>
            <w:tcMar>
              <w:top w:type="dxa" w:w="40"/>
              <w:left w:type="dxa" w:w="80"/>
              <w:bottom w:type="dxa" w:w="40"/>
              <w:right w:type="dxa" w:w="80"/>
            </w:tcMar>
          </w:tcPr>
          <w:p>
            <w:r>
              <w:rPr>
                <w:rFonts w:ascii="Arial" w:cs="Arial" w:eastAsia="Arial" w:hAnsi="Arial"/>
                <w:sz w:val="18"/>
                <w:szCs w:val="18"/>
              </w:rPr>
              <w:t xml:space="preserve">Receivables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308,440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326,228</w:t>
            </w:r>
          </w:p>
        </w:tc>
        <w:tc>
          <w:tcPr>
            <w:tcMar>
              <w:top w:type="dxa" w:w="40"/>
              <w:left w:type="dxa" w:w="80"/>
              <w:bottom w:type="dxa" w:w="40"/>
              <w:right w:type="dxa" w:w="80"/>
            </w:tcMar>
          </w:tcPr>
          <w:p>
            <w:pPr>
              <w:jc w:val="right"/>
            </w:pPr>
            <w:r>
              <w:rPr>
                <w:rFonts w:ascii="Arial" w:cs="Arial" w:eastAsia="Arial" w:hAnsi="Arial"/>
                <w:sz w:val="18"/>
                <w:szCs w:val="18"/>
              </w:rPr>
              <w:t xml:space="preserve">332,016</w:t>
            </w:r>
          </w:p>
        </w:tc>
        <w:tc>
          <w:tcPr>
            <w:tcMar>
              <w:top w:type="dxa" w:w="40"/>
              <w:left w:type="dxa" w:w="80"/>
              <w:bottom w:type="dxa" w:w="40"/>
              <w:right w:type="dxa" w:w="80"/>
            </w:tcMar>
          </w:tcPr>
          <w:p>
            <w:pPr>
              <w:jc w:val="right"/>
            </w:pPr>
            <w:r>
              <w:rPr>
                <w:rFonts w:ascii="Arial" w:cs="Arial" w:eastAsia="Arial" w:hAnsi="Arial"/>
                <w:sz w:val="18"/>
                <w:szCs w:val="18"/>
              </w:rPr>
              <w:t xml:space="preserve">339,888</w:t>
            </w:r>
          </w:p>
        </w:tc>
        <w:tc>
          <w:tcPr>
            <w:tcMar>
              <w:top w:type="dxa" w:w="40"/>
              <w:left w:type="dxa" w:w="80"/>
              <w:bottom w:type="dxa" w:w="40"/>
              <w:right w:type="dxa" w:w="80"/>
            </w:tcMar>
          </w:tcPr>
          <w:p>
            <w:pPr>
              <w:jc w:val="right"/>
            </w:pPr>
            <w:r>
              <w:rPr>
                <w:rFonts w:ascii="Arial" w:cs="Arial" w:eastAsia="Arial" w:hAnsi="Arial"/>
                <w:sz w:val="18"/>
                <w:szCs w:val="18"/>
              </w:rPr>
              <w:t xml:space="preserve">358,175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382,958</w:t>
            </w:r>
          </w:p>
        </w:tc>
        <w:tc>
          <w:tcPr>
            <w:tcMar>
              <w:top w:type="dxa" w:w="40"/>
              <w:left w:type="dxa" w:w="80"/>
              <w:bottom w:type="dxa" w:w="40"/>
              <w:right w:type="dxa" w:w="80"/>
            </w:tcMar>
          </w:tcPr>
          <w:p>
            <w:pPr>
              <w:jc w:val="right"/>
            </w:pPr>
            <w:r>
              <w:rPr>
                <w:rFonts w:ascii="Arial" w:cs="Arial" w:eastAsia="Arial" w:hAnsi="Arial"/>
                <w:sz w:val="18"/>
                <w:szCs w:val="18"/>
              </w:rPr>
              <w:t xml:space="preserve">348,784</w:t>
            </w:r>
          </w:p>
        </w:tc>
        <w:tc>
          <w:tcPr>
            <w:tcMar>
              <w:top w:type="dxa" w:w="40"/>
              <w:left w:type="dxa" w:w="80"/>
              <w:bottom w:type="dxa" w:w="40"/>
              <w:right w:type="dxa" w:w="80"/>
            </w:tcMar>
          </w:tcPr>
          <w:p>
            <w:pPr>
              <w:jc w:val="right"/>
            </w:pPr>
            <w:r>
              <w:rPr>
                <w:rFonts w:ascii="Arial" w:cs="Arial" w:eastAsia="Arial" w:hAnsi="Arial"/>
                <w:sz w:val="18"/>
                <w:szCs w:val="18"/>
              </w:rPr>
              <w:t xml:space="preserve">326,919</w:t>
            </w:r>
          </w:p>
        </w:tc>
      </w:tr>
      <w:tr>
        <w:tc>
          <w:tcPr>
            <w:tcMar>
              <w:top w:type="dxa" w:w="40"/>
              <w:left w:type="dxa" w:w="80"/>
              <w:bottom w:type="dxa" w:w="40"/>
              <w:right w:type="dxa" w:w="80"/>
            </w:tcMar>
          </w:tcPr>
          <w:p>
            <w:r>
              <w:rPr>
                <w:rFonts w:ascii="Arial" w:cs="Arial" w:eastAsia="Arial" w:hAnsi="Arial"/>
                <w:sz w:val="18"/>
                <w:szCs w:val="18"/>
              </w:rPr>
              <w:t xml:space="preserve">Finance cost</w:t>
            </w:r>
          </w:p>
        </w:tc>
        <w:tc>
          <w:tcPr>
            <w:tcMar>
              <w:top w:type="dxa" w:w="40"/>
              <w:left w:type="dxa" w:w="80"/>
              <w:bottom w:type="dxa" w:w="40"/>
              <w:right w:type="dxa" w:w="80"/>
            </w:tcMar>
          </w:tcPr>
          <w:p>
            <w:pPr>
              <w:jc w:val="right"/>
            </w:pPr>
            <w:r>
              <w:rPr>
                <w:rFonts w:ascii="Arial" w:cs="Arial" w:eastAsia="Arial" w:hAnsi="Arial"/>
                <w:sz w:val="18"/>
                <w:szCs w:val="18"/>
              </w:rPr>
              <w:t xml:space="preserve">-108,867</w:t>
            </w:r>
          </w:p>
        </w:tc>
        <w:tc>
          <w:tcPr>
            <w:tcMar>
              <w:top w:type="dxa" w:w="40"/>
              <w:left w:type="dxa" w:w="80"/>
              <w:bottom w:type="dxa" w:w="40"/>
              <w:right w:type="dxa" w:w="80"/>
            </w:tcMar>
          </w:tcPr>
          <w:p>
            <w:pPr>
              <w:jc w:val="right"/>
            </w:pPr>
            <w:r>
              <w:rPr>
                <w:rFonts w:ascii="Arial" w:cs="Arial" w:eastAsia="Arial" w:hAnsi="Arial"/>
                <w:sz w:val="18"/>
                <w:szCs w:val="18"/>
              </w:rPr>
              <w:t xml:space="preserve">-143,633</w:t>
            </w:r>
          </w:p>
        </w:tc>
        <w:tc>
          <w:tcPr>
            <w:tcMar>
              <w:top w:type="dxa" w:w="40"/>
              <w:left w:type="dxa" w:w="80"/>
              <w:bottom w:type="dxa" w:w="40"/>
              <w:right w:type="dxa" w:w="80"/>
            </w:tcMar>
          </w:tcPr>
          <w:p>
            <w:pPr>
              <w:jc w:val="right"/>
            </w:pPr>
            <w:r>
              <w:rPr>
                <w:rFonts w:ascii="Arial" w:cs="Arial" w:eastAsia="Arial" w:hAnsi="Arial"/>
                <w:sz w:val="18"/>
                <w:szCs w:val="18"/>
              </w:rPr>
              <w:t xml:space="preserve">-34,005</w:t>
            </w:r>
          </w:p>
        </w:tc>
        <w:tc>
          <w:tcPr>
            <w:tcMar>
              <w:top w:type="dxa" w:w="40"/>
              <w:left w:type="dxa" w:w="80"/>
              <w:bottom w:type="dxa" w:w="40"/>
              <w:right w:type="dxa" w:w="80"/>
            </w:tcMar>
          </w:tcPr>
          <w:p>
            <w:pPr>
              <w:jc w:val="right"/>
            </w:pPr>
            <w:r>
              <w:rPr>
                <w:rFonts w:ascii="Arial" w:cs="Arial" w:eastAsia="Arial" w:hAnsi="Arial"/>
                <w:sz w:val="18"/>
                <w:szCs w:val="18"/>
              </w:rPr>
              <w:t xml:space="preserve">-68,036</w:t>
            </w:r>
          </w:p>
        </w:tc>
        <w:tc>
          <w:tcPr>
            <w:tcMar>
              <w:top w:type="dxa" w:w="40"/>
              <w:left w:type="dxa" w:w="80"/>
              <w:bottom w:type="dxa" w:w="40"/>
              <w:right w:type="dxa" w:w="80"/>
            </w:tcMar>
          </w:tcPr>
          <w:p>
            <w:pPr>
              <w:jc w:val="right"/>
            </w:pPr>
            <w:r>
              <w:rPr>
                <w:rFonts w:ascii="Arial" w:cs="Arial" w:eastAsia="Arial" w:hAnsi="Arial"/>
                <w:sz w:val="18"/>
                <w:szCs w:val="18"/>
              </w:rPr>
              <w:t xml:space="preserve">-102,624</w:t>
            </w:r>
          </w:p>
        </w:tc>
        <w:tc>
          <w:tcPr>
            <w:tcMar>
              <w:top w:type="dxa" w:w="40"/>
              <w:left w:type="dxa" w:w="80"/>
              <w:bottom w:type="dxa" w:w="40"/>
              <w:right w:type="dxa" w:w="80"/>
            </w:tcMar>
          </w:tcPr>
          <w:p>
            <w:pPr>
              <w:jc w:val="right"/>
            </w:pPr>
            <w:r>
              <w:rPr>
                <w:rFonts w:ascii="Arial" w:cs="Arial" w:eastAsia="Arial" w:hAnsi="Arial"/>
                <w:sz w:val="18"/>
                <w:szCs w:val="18"/>
              </w:rPr>
              <w:t xml:space="preserve">-132,886</w:t>
            </w:r>
          </w:p>
        </w:tc>
        <w:tc>
          <w:tcPr>
            <w:tcMar>
              <w:top w:type="dxa" w:w="40"/>
              <w:left w:type="dxa" w:w="80"/>
              <w:bottom w:type="dxa" w:w="40"/>
              <w:right w:type="dxa" w:w="80"/>
            </w:tcMar>
          </w:tcPr>
          <w:p>
            <w:pPr>
              <w:jc w:val="right"/>
            </w:pPr>
            <w:r>
              <w:rPr>
                <w:rFonts w:ascii="Arial" w:cs="Arial" w:eastAsia="Arial" w:hAnsi="Arial"/>
                <w:sz w:val="18"/>
                <w:szCs w:val="18"/>
              </w:rPr>
              <w:t xml:space="preserve">-28,182</w:t>
            </w:r>
          </w:p>
        </w:tc>
        <w:tc>
          <w:tcPr>
            <w:tcMar>
              <w:top w:type="dxa" w:w="40"/>
              <w:left w:type="dxa" w:w="80"/>
              <w:bottom w:type="dxa" w:w="40"/>
              <w:right w:type="dxa" w:w="80"/>
            </w:tcMar>
          </w:tcPr>
          <w:p>
            <w:pPr>
              <w:jc w:val="right"/>
            </w:pPr>
            <w:r>
              <w:rPr>
                <w:rFonts w:ascii="Arial" w:cs="Arial" w:eastAsia="Arial" w:hAnsi="Arial"/>
                <w:sz w:val="18"/>
                <w:szCs w:val="18"/>
              </w:rPr>
              <w:t xml:space="preserve">-56,435</w:t>
            </w:r>
          </w:p>
        </w:tc>
        <w:tc>
          <w:tcPr>
            <w:tcMar>
              <w:top w:type="dxa" w:w="40"/>
              <w:left w:type="dxa" w:w="80"/>
              <w:bottom w:type="dxa" w:w="40"/>
              <w:right w:type="dxa" w:w="80"/>
            </w:tcMar>
          </w:tcPr>
          <w:p>
            <w:pPr>
              <w:jc w:val="right"/>
            </w:pPr>
            <w:r>
              <w:rPr>
                <w:rFonts w:ascii="Arial" w:cs="Arial" w:eastAsia="Arial" w:hAnsi="Arial"/>
                <w:sz w:val="18"/>
                <w:szCs w:val="18"/>
              </w:rPr>
              <w:t xml:space="preserve">-28,252</w:t>
            </w:r>
          </w:p>
        </w:tc>
        <w:tc>
          <w:tcPr>
            <w:tcMar>
              <w:top w:type="dxa" w:w="40"/>
              <w:left w:type="dxa" w:w="80"/>
              <w:bottom w:type="dxa" w:w="40"/>
              <w:right w:type="dxa" w:w="80"/>
            </w:tcMar>
          </w:tcPr>
          <w:p>
            <w:pPr>
              <w:jc w:val="right"/>
            </w:pPr>
            <w:r>
              <w:rPr>
                <w:rFonts w:ascii="Arial" w:cs="Arial" w:eastAsia="Arial" w:hAnsi="Arial"/>
                <w:sz w:val="18"/>
                <w:szCs w:val="18"/>
              </w:rPr>
              <w:t xml:space="preserve">-84,972</w:t>
            </w:r>
          </w:p>
        </w:tc>
        <w:tc>
          <w:tcPr>
            <w:tcMar>
              <w:top w:type="dxa" w:w="40"/>
              <w:left w:type="dxa" w:w="80"/>
              <w:bottom w:type="dxa" w:w="40"/>
              <w:right w:type="dxa" w:w="80"/>
            </w:tcMar>
          </w:tcPr>
          <w:p>
            <w:pPr>
              <w:jc w:val="right"/>
            </w:pPr>
            <w:r>
              <w:rPr>
                <w:rFonts w:ascii="Arial" w:cs="Arial" w:eastAsia="Arial" w:hAnsi="Arial"/>
                <w:sz w:val="18"/>
                <w:szCs w:val="18"/>
              </w:rPr>
              <w:t xml:space="preserve">-113,079</w:t>
            </w:r>
          </w:p>
        </w:tc>
        <w:tc>
          <w:tcPr>
            <w:tcMar>
              <w:top w:type="dxa" w:w="40"/>
              <w:left w:type="dxa" w:w="80"/>
              <w:bottom w:type="dxa" w:w="40"/>
              <w:right w:type="dxa" w:w="80"/>
            </w:tcMar>
          </w:tcPr>
          <w:p>
            <w:pPr>
              <w:jc w:val="right"/>
            </w:pPr>
            <w:r>
              <w:rPr>
                <w:rFonts w:ascii="Arial" w:cs="Arial" w:eastAsia="Arial" w:hAnsi="Arial"/>
                <w:sz w:val="18"/>
                <w:szCs w:val="18"/>
              </w:rPr>
              <w:t xml:space="preserve">-24,707</w:t>
            </w:r>
          </w:p>
        </w:tc>
        <w:tc>
          <w:tcPr>
            <w:tcMar>
              <w:top w:type="dxa" w:w="40"/>
              <w:left w:type="dxa" w:w="80"/>
              <w:bottom w:type="dxa" w:w="40"/>
              <w:right w:type="dxa" w:w="80"/>
            </w:tcMar>
          </w:tcPr>
          <w:p>
            <w:pPr>
              <w:jc w:val="right"/>
            </w:pPr>
            <w:r>
              <w:rPr>
                <w:rFonts w:ascii="Arial" w:cs="Arial" w:eastAsia="Arial" w:hAnsi="Arial"/>
                <w:sz w:val="18"/>
                <w:szCs w:val="18"/>
              </w:rPr>
              <w:t xml:space="preserve">-48,515</w:t>
            </w:r>
          </w:p>
        </w:tc>
      </w:tr>
      <w:tr>
        <w:tc>
          <w:tcPr>
            <w:tcMar>
              <w:top w:type="dxa" w:w="40"/>
              <w:left w:type="dxa" w:w="80"/>
              <w:bottom w:type="dxa" w:w="40"/>
              <w:right w:type="dxa" w:w="80"/>
            </w:tcMar>
          </w:tcPr>
          <w:p>
            <w:r>
              <w:rPr>
                <w:rFonts w:ascii="Arial" w:cs="Arial" w:eastAsia="Arial" w:hAnsi="Arial"/>
                <w:sz w:val="18"/>
                <w:szCs w:val="18"/>
              </w:rPr>
              <w:t xml:space="preserve">EBITDA</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226,623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113,214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251,633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117,250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267,572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EBIT</w:t>
            </w:r>
          </w:p>
        </w:tc>
        <w:tc>
          <w:tcPr>
            <w:tcMar>
              <w:top w:type="dxa" w:w="40"/>
              <w:left w:type="dxa" w:w="80"/>
              <w:bottom w:type="dxa" w:w="40"/>
              <w:right w:type="dxa" w:w="80"/>
            </w:tcMar>
          </w:tcPr>
          <w:p>
            <w:pPr>
              <w:jc w:val="right"/>
            </w:pPr>
            <w:r>
              <w:rPr>
                <w:rFonts w:ascii="Arial" w:cs="Arial" w:eastAsia="Arial" w:hAnsi="Arial"/>
                <w:sz w:val="18"/>
                <w:szCs w:val="18"/>
              </w:rPr>
              <w:t xml:space="preserve">113,114</w:t>
            </w:r>
          </w:p>
        </w:tc>
        <w:tc>
          <w:tcPr>
            <w:tcMar>
              <w:top w:type="dxa" w:w="40"/>
              <w:left w:type="dxa" w:w="80"/>
              <w:bottom w:type="dxa" w:w="40"/>
              <w:right w:type="dxa" w:w="80"/>
            </w:tcMar>
          </w:tcPr>
          <w:p>
            <w:pPr>
              <w:jc w:val="right"/>
            </w:pPr>
            <w:r>
              <w:rPr>
                <w:rFonts w:ascii="Arial" w:cs="Arial" w:eastAsia="Arial" w:hAnsi="Arial"/>
                <w:sz w:val="18"/>
                <w:szCs w:val="18"/>
              </w:rPr>
              <w:t xml:space="preserve">174,263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84,251</w:t>
            </w:r>
          </w:p>
        </w:tc>
        <w:tc>
          <w:tcPr>
            <w:tcMar>
              <w:top w:type="dxa" w:w="40"/>
              <w:left w:type="dxa" w:w="80"/>
              <w:bottom w:type="dxa" w:w="40"/>
              <w:right w:type="dxa" w:w="80"/>
            </w:tcMar>
          </w:tcPr>
          <w:p>
            <w:pPr>
              <w:jc w:val="right"/>
            </w:pPr>
            <w:r>
              <w:rPr>
                <w:rFonts w:ascii="Arial" w:cs="Arial" w:eastAsia="Arial" w:hAnsi="Arial"/>
                <w:sz w:val="18"/>
                <w:szCs w:val="18"/>
              </w:rPr>
              <w:t xml:space="preserve">117,582</w:t>
            </w:r>
          </w:p>
        </w:tc>
        <w:tc>
          <w:tcPr>
            <w:tcMar>
              <w:top w:type="dxa" w:w="40"/>
              <w:left w:type="dxa" w:w="80"/>
              <w:bottom w:type="dxa" w:w="40"/>
              <w:right w:type="dxa" w:w="80"/>
            </w:tcMar>
          </w:tcPr>
          <w:p>
            <w:pPr>
              <w:jc w:val="right"/>
            </w:pPr>
            <w:r>
              <w:rPr>
                <w:rFonts w:ascii="Arial" w:cs="Arial" w:eastAsia="Arial" w:hAnsi="Arial"/>
                <w:sz w:val="18"/>
                <w:szCs w:val="18"/>
              </w:rPr>
              <w:t xml:space="preserve">171,657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93,162</w:t>
            </w:r>
          </w:p>
        </w:tc>
        <w:tc>
          <w:tcPr>
            <w:tcMar>
              <w:top w:type="dxa" w:w="40"/>
              <w:left w:type="dxa" w:w="80"/>
              <w:bottom w:type="dxa" w:w="40"/>
              <w:right w:type="dxa" w:w="80"/>
            </w:tcMar>
          </w:tcPr>
          <w:p>
            <w:pPr>
              <w:jc w:val="right"/>
            </w:pPr>
            <w:r>
              <w:rPr>
                <w:rFonts w:ascii="Arial" w:cs="Arial" w:eastAsia="Arial" w:hAnsi="Arial"/>
                <w:sz w:val="18"/>
                <w:szCs w:val="18"/>
              </w:rPr>
              <w:t xml:space="preserve">47,074</w:t>
            </w:r>
          </w:p>
        </w:tc>
        <w:tc>
          <w:tcPr>
            <w:tcMar>
              <w:top w:type="dxa" w:w="40"/>
              <w:left w:type="dxa" w:w="80"/>
              <w:bottom w:type="dxa" w:w="40"/>
              <w:right w:type="dxa" w:w="80"/>
            </w:tcMar>
          </w:tcPr>
          <w:p>
            <w:pPr>
              <w:jc w:val="right"/>
            </w:pPr>
            <w:r>
              <w:rPr>
                <w:rFonts w:ascii="Arial" w:cs="Arial" w:eastAsia="Arial" w:hAnsi="Arial"/>
                <w:sz w:val="18"/>
                <w:szCs w:val="18"/>
              </w:rPr>
              <w:t xml:space="preserve">147,681</w:t>
            </w:r>
          </w:p>
        </w:tc>
        <w:tc>
          <w:tcPr>
            <w:tcMar>
              <w:top w:type="dxa" w:w="40"/>
              <w:left w:type="dxa" w:w="80"/>
              <w:bottom w:type="dxa" w:w="40"/>
              <w:right w:type="dxa" w:w="80"/>
            </w:tcMar>
          </w:tcPr>
          <w:p>
            <w:pPr>
              <w:jc w:val="right"/>
            </w:pPr>
            <w:r>
              <w:rPr>
                <w:rFonts w:ascii="Arial" w:cs="Arial" w:eastAsia="Arial" w:hAnsi="Arial"/>
                <w:sz w:val="18"/>
                <w:szCs w:val="18"/>
              </w:rPr>
              <w:t xml:space="preserve">195,502</w:t>
            </w:r>
          </w:p>
        </w:tc>
        <w:tc>
          <w:tcPr>
            <w:tcMar>
              <w:top w:type="dxa" w:w="40"/>
              <w:left w:type="dxa" w:w="80"/>
              <w:bottom w:type="dxa" w:w="40"/>
              <w:right w:type="dxa" w:w="80"/>
            </w:tcMar>
          </w:tcPr>
          <w:p>
            <w:pPr>
              <w:jc w:val="right"/>
            </w:pPr>
            <w:r>
              <w:rPr>
                <w:rFonts w:ascii="Arial" w:cs="Arial" w:eastAsia="Arial" w:hAnsi="Arial"/>
                <w:sz w:val="18"/>
                <w:szCs w:val="18"/>
              </w:rPr>
              <w:t xml:space="preserve">47,860</w:t>
            </w:r>
          </w:p>
        </w:tc>
        <w:tc>
          <w:tcPr>
            <w:tcMar>
              <w:top w:type="dxa" w:w="40"/>
              <w:left w:type="dxa" w:w="80"/>
              <w:bottom w:type="dxa" w:w="40"/>
              <w:right w:type="dxa" w:w="80"/>
            </w:tcMar>
          </w:tcPr>
          <w:p>
            <w:pPr>
              <w:jc w:val="right"/>
            </w:pPr>
            <w:r>
              <w:rPr>
                <w:rFonts w:ascii="Arial" w:cs="Arial" w:eastAsia="Arial" w:hAnsi="Arial"/>
                <w:sz w:val="18"/>
                <w:szCs w:val="18"/>
              </w:rPr>
              <w:t xml:space="preserve">93,288</w:t>
            </w:r>
          </w:p>
        </w:tc>
      </w:tr>
      <w:tr>
        <w:tc>
          <w:tcPr>
            <w:tcMar>
              <w:top w:type="dxa" w:w="40"/>
              <w:left w:type="dxa" w:w="80"/>
              <w:bottom w:type="dxa" w:w="40"/>
              <w:right w:type="dxa" w:w="80"/>
            </w:tcMar>
          </w:tcPr>
          <w:p>
            <w:r>
              <w:rPr>
                <w:rFonts w:ascii="Arial" w:cs="Arial" w:eastAsia="Arial" w:hAnsi="Arial"/>
                <w:sz w:val="18"/>
                <w:szCs w:val="18"/>
              </w:rPr>
              <w:t xml:space="preserve">Inventory</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291,948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301,005</w:t>
            </w:r>
          </w:p>
        </w:tc>
        <w:tc>
          <w:tcPr>
            <w:tcMar>
              <w:top w:type="dxa" w:w="40"/>
              <w:left w:type="dxa" w:w="80"/>
              <w:bottom w:type="dxa" w:w="40"/>
              <w:right w:type="dxa" w:w="80"/>
            </w:tcMar>
          </w:tcPr>
          <w:p>
            <w:pPr>
              <w:jc w:val="right"/>
            </w:pPr>
            <w:r>
              <w:rPr>
                <w:rFonts w:ascii="Arial" w:cs="Arial" w:eastAsia="Arial" w:hAnsi="Arial"/>
                <w:sz w:val="18"/>
                <w:szCs w:val="18"/>
              </w:rPr>
              <w:t xml:space="preserve">286,910</w:t>
            </w:r>
          </w:p>
        </w:tc>
        <w:tc>
          <w:tcPr>
            <w:tcMar>
              <w:top w:type="dxa" w:w="40"/>
              <w:left w:type="dxa" w:w="80"/>
              <w:bottom w:type="dxa" w:w="40"/>
              <w:right w:type="dxa" w:w="80"/>
            </w:tcMar>
          </w:tcPr>
          <w:p>
            <w:pPr>
              <w:jc w:val="right"/>
            </w:pPr>
            <w:r>
              <w:rPr>
                <w:rFonts w:ascii="Arial" w:cs="Arial" w:eastAsia="Arial" w:hAnsi="Arial"/>
                <w:sz w:val="18"/>
                <w:szCs w:val="18"/>
              </w:rPr>
              <w:t xml:space="preserve">282,399</w:t>
            </w:r>
          </w:p>
        </w:tc>
        <w:tc>
          <w:tcPr>
            <w:tcMar>
              <w:top w:type="dxa" w:w="40"/>
              <w:left w:type="dxa" w:w="80"/>
              <w:bottom w:type="dxa" w:w="40"/>
              <w:right w:type="dxa" w:w="80"/>
            </w:tcMar>
          </w:tcPr>
          <w:p>
            <w:pPr>
              <w:jc w:val="right"/>
            </w:pPr>
            <w:r>
              <w:rPr>
                <w:rFonts w:ascii="Arial" w:cs="Arial" w:eastAsia="Arial" w:hAnsi="Arial"/>
                <w:sz w:val="18"/>
                <w:szCs w:val="18"/>
              </w:rPr>
              <w:t xml:space="preserve">289,874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305,764</w:t>
            </w:r>
          </w:p>
        </w:tc>
        <w:tc>
          <w:tcPr>
            <w:tcMar>
              <w:top w:type="dxa" w:w="40"/>
              <w:left w:type="dxa" w:w="80"/>
              <w:bottom w:type="dxa" w:w="40"/>
              <w:right w:type="dxa" w:w="80"/>
            </w:tcMar>
          </w:tcPr>
          <w:p>
            <w:pPr>
              <w:jc w:val="right"/>
            </w:pPr>
            <w:r>
              <w:rPr>
                <w:rFonts w:ascii="Arial" w:cs="Arial" w:eastAsia="Arial" w:hAnsi="Arial"/>
                <w:sz w:val="18"/>
                <w:szCs w:val="18"/>
              </w:rPr>
              <w:t xml:space="preserve">285,654</w:t>
            </w:r>
          </w:p>
        </w:tc>
        <w:tc>
          <w:tcPr>
            <w:tcMar>
              <w:top w:type="dxa" w:w="40"/>
              <w:left w:type="dxa" w:w="80"/>
              <w:bottom w:type="dxa" w:w="40"/>
              <w:right w:type="dxa" w:w="80"/>
            </w:tcMar>
          </w:tcPr>
          <w:p>
            <w:pPr>
              <w:jc w:val="right"/>
            </w:pPr>
            <w:r>
              <w:rPr>
                <w:rFonts w:ascii="Arial" w:cs="Arial" w:eastAsia="Arial" w:hAnsi="Arial"/>
                <w:sz w:val="18"/>
                <w:szCs w:val="18"/>
              </w:rPr>
              <w:t xml:space="preserve">281,985</w:t>
            </w:r>
          </w:p>
        </w:tc>
        <w:tc>
          <w:tcPr>
            <w:tcMar>
              <w:top w:type="dxa" w:w="40"/>
              <w:left w:type="dxa" w:w="80"/>
              <w:bottom w:type="dxa" w:w="40"/>
              <w:right w:type="dxa" w:w="80"/>
            </w:tcMar>
          </w:tcPr>
          <w:p>
            <w:pPr>
              <w:jc w:val="right"/>
            </w:pPr>
            <w:r>
              <w:rPr>
                <w:rFonts w:ascii="Arial" w:cs="Arial" w:eastAsia="Arial" w:hAnsi="Arial"/>
                <w:sz w:val="18"/>
                <w:szCs w:val="18"/>
              </w:rPr>
              <w:t xml:space="preserve">282,711</w:t>
            </w:r>
          </w:p>
        </w:tc>
      </w:tr>
      <w:tr>
        <w:tc>
          <w:tcPr>
            <w:tcMar>
              <w:top w:type="dxa" w:w="40"/>
              <w:left w:type="dxa" w:w="80"/>
              <w:bottom w:type="dxa" w:w="40"/>
              <w:right w:type="dxa" w:w="80"/>
            </w:tcMar>
          </w:tcPr>
          <w:p>
            <w:r>
              <w:rPr>
                <w:rFonts w:ascii="Arial" w:cs="Arial" w:eastAsia="Arial" w:hAnsi="Arial"/>
                <w:sz w:val="18"/>
                <w:szCs w:val="18"/>
              </w:rPr>
              <w:t xml:space="preserve">Net profit / (loss)</w:t>
            </w:r>
          </w:p>
        </w:tc>
        <w:tc>
          <w:tcPr>
            <w:tcMar>
              <w:top w:type="dxa" w:w="40"/>
              <w:left w:type="dxa" w:w="80"/>
              <w:bottom w:type="dxa" w:w="40"/>
              <w:right w:type="dxa" w:w="80"/>
            </w:tcMar>
          </w:tcPr>
          <w:p>
            <w:pPr>
              <w:jc w:val="right"/>
            </w:pPr>
            <w:r>
              <w:rPr>
                <w:rFonts w:ascii="Arial" w:cs="Arial" w:eastAsia="Arial" w:hAnsi="Arial"/>
                <w:sz w:val="18"/>
                <w:szCs w:val="18"/>
              </w:rPr>
              <w:t xml:space="preserve">21,132</w:t>
            </w:r>
          </w:p>
        </w:tc>
        <w:tc>
          <w:tcPr>
            <w:tcMar>
              <w:top w:type="dxa" w:w="40"/>
              <w:left w:type="dxa" w:w="80"/>
              <w:bottom w:type="dxa" w:w="40"/>
              <w:right w:type="dxa" w:w="80"/>
            </w:tcMar>
          </w:tcPr>
          <w:p>
            <w:pPr>
              <w:jc w:val="right"/>
            </w:pPr>
            <w:r>
              <w:rPr>
                <w:rFonts w:ascii="Arial" w:cs="Arial" w:eastAsia="Arial" w:hAnsi="Arial"/>
                <w:sz w:val="18"/>
                <w:szCs w:val="18"/>
              </w:rPr>
              <w:t xml:space="preserve">52,575</w:t>
            </w:r>
          </w:p>
        </w:tc>
        <w:tc>
          <w:tcPr>
            <w:tcMar>
              <w:top w:type="dxa" w:w="40"/>
              <w:left w:type="dxa" w:w="80"/>
              <w:bottom w:type="dxa" w:w="40"/>
              <w:right w:type="dxa" w:w="80"/>
            </w:tcMar>
          </w:tcPr>
          <w:p>
            <w:pPr>
              <w:jc w:val="right"/>
            </w:pPr>
            <w:r>
              <w:rPr>
                <w:rFonts w:ascii="Arial" w:cs="Arial" w:eastAsia="Arial" w:hAnsi="Arial"/>
                <w:sz w:val="18"/>
                <w:szCs w:val="18"/>
              </w:rPr>
              <w:t xml:space="preserve">13,302</w:t>
            </w:r>
          </w:p>
        </w:tc>
        <w:tc>
          <w:tcPr>
            <w:tcMar>
              <w:top w:type="dxa" w:w="40"/>
              <w:left w:type="dxa" w:w="80"/>
              <w:bottom w:type="dxa" w:w="40"/>
              <w:right w:type="dxa" w:w="80"/>
            </w:tcMar>
          </w:tcPr>
          <w:p>
            <w:pPr>
              <w:jc w:val="right"/>
            </w:pPr>
            <w:r>
              <w:rPr>
                <w:rFonts w:ascii="Arial" w:cs="Arial" w:eastAsia="Arial" w:hAnsi="Arial"/>
                <w:sz w:val="18"/>
                <w:szCs w:val="18"/>
              </w:rPr>
              <w:t xml:space="preserve">30,623</w:t>
            </w:r>
          </w:p>
        </w:tc>
        <w:tc>
          <w:tcPr>
            <w:tcMar>
              <w:top w:type="dxa" w:w="40"/>
              <w:left w:type="dxa" w:w="80"/>
              <w:bottom w:type="dxa" w:w="40"/>
              <w:right w:type="dxa" w:w="80"/>
            </w:tcMar>
          </w:tcPr>
          <w:p>
            <w:pPr>
              <w:jc w:val="right"/>
            </w:pPr>
            <w:r>
              <w:rPr>
                <w:rFonts w:ascii="Arial" w:cs="Arial" w:eastAsia="Arial" w:hAnsi="Arial"/>
                <w:sz w:val="18"/>
                <w:szCs w:val="18"/>
              </w:rPr>
              <w:t xml:space="preserve">36,672</w:t>
            </w:r>
          </w:p>
        </w:tc>
        <w:tc>
          <w:tcPr>
            <w:tcMar>
              <w:top w:type="dxa" w:w="40"/>
              <w:left w:type="dxa" w:w="80"/>
              <w:bottom w:type="dxa" w:w="40"/>
              <w:right w:type="dxa" w:w="80"/>
            </w:tcMar>
          </w:tcPr>
          <w:p>
            <w:pPr>
              <w:jc w:val="right"/>
            </w:pPr>
            <w:r>
              <w:rPr>
                <w:rFonts w:ascii="Arial" w:cs="Arial" w:eastAsia="Arial" w:hAnsi="Arial"/>
                <w:sz w:val="18"/>
                <w:szCs w:val="18"/>
              </w:rPr>
              <w:t xml:space="preserve">54,913</w:t>
            </w:r>
          </w:p>
        </w:tc>
        <w:tc>
          <w:tcPr>
            <w:tcMar>
              <w:top w:type="dxa" w:w="40"/>
              <w:left w:type="dxa" w:w="80"/>
              <w:bottom w:type="dxa" w:w="40"/>
              <w:right w:type="dxa" w:w="80"/>
            </w:tcMar>
          </w:tcPr>
          <w:p>
            <w:pPr>
              <w:jc w:val="right"/>
            </w:pPr>
            <w:r>
              <w:rPr>
                <w:rFonts w:ascii="Arial" w:cs="Arial" w:eastAsia="Arial" w:hAnsi="Arial"/>
                <w:sz w:val="18"/>
                <w:szCs w:val="18"/>
              </w:rPr>
              <w:t xml:space="preserve">20,997</w:t>
            </w:r>
          </w:p>
        </w:tc>
        <w:tc>
          <w:tcPr>
            <w:tcMar>
              <w:top w:type="dxa" w:w="40"/>
              <w:left w:type="dxa" w:w="80"/>
              <w:bottom w:type="dxa" w:w="40"/>
              <w:right w:type="dxa" w:w="80"/>
            </w:tcMar>
          </w:tcPr>
          <w:p>
            <w:pPr>
              <w:jc w:val="right"/>
            </w:pPr>
            <w:r>
              <w:rPr>
                <w:rFonts w:ascii="Arial" w:cs="Arial" w:eastAsia="Arial" w:hAnsi="Arial"/>
                <w:sz w:val="18"/>
                <w:szCs w:val="18"/>
              </w:rPr>
              <w:t xml:space="preserve">48,697</w:t>
            </w:r>
          </w:p>
        </w:tc>
        <w:tc>
          <w:tcPr>
            <w:tcMar>
              <w:top w:type="dxa" w:w="40"/>
              <w:left w:type="dxa" w:w="80"/>
              <w:bottom w:type="dxa" w:w="40"/>
              <w:right w:type="dxa" w:w="80"/>
            </w:tcMar>
          </w:tcPr>
          <w:p>
            <w:pPr>
              <w:jc w:val="right"/>
            </w:pPr>
            <w:r>
              <w:rPr>
                <w:rFonts w:ascii="Arial" w:cs="Arial" w:eastAsia="Arial" w:hAnsi="Arial"/>
                <w:sz w:val="18"/>
                <w:szCs w:val="18"/>
              </w:rPr>
              <w:t xml:space="preserve">27,700</w:t>
            </w:r>
          </w:p>
        </w:tc>
        <w:tc>
          <w:tcPr>
            <w:tcMar>
              <w:top w:type="dxa" w:w="40"/>
              <w:left w:type="dxa" w:w="80"/>
              <w:bottom w:type="dxa" w:w="40"/>
              <w:right w:type="dxa" w:w="80"/>
            </w:tcMar>
          </w:tcPr>
          <w:p>
            <w:pPr>
              <w:jc w:val="right"/>
            </w:pPr>
            <w:r>
              <w:rPr>
                <w:rFonts w:ascii="Arial" w:cs="Arial" w:eastAsia="Arial" w:hAnsi="Arial"/>
                <w:sz w:val="18"/>
                <w:szCs w:val="18"/>
              </w:rPr>
              <w:t xml:space="preserve">77,268</w:t>
            </w:r>
          </w:p>
        </w:tc>
        <w:tc>
          <w:tcPr>
            <w:tcMar>
              <w:top w:type="dxa" w:w="40"/>
              <w:left w:type="dxa" w:w="80"/>
              <w:bottom w:type="dxa" w:w="40"/>
              <w:right w:type="dxa" w:w="80"/>
            </w:tcMar>
          </w:tcPr>
          <w:p>
            <w:pPr>
              <w:jc w:val="right"/>
            </w:pPr>
            <w:r>
              <w:rPr>
                <w:rFonts w:ascii="Arial" w:cs="Arial" w:eastAsia="Arial" w:hAnsi="Arial"/>
                <w:sz w:val="18"/>
                <w:szCs w:val="18"/>
              </w:rPr>
              <w:t xml:space="preserve">102,343</w:t>
            </w:r>
          </w:p>
        </w:tc>
        <w:tc>
          <w:tcPr>
            <w:tcMar>
              <w:top w:type="dxa" w:w="40"/>
              <w:left w:type="dxa" w:w="80"/>
              <w:bottom w:type="dxa" w:w="40"/>
              <w:right w:type="dxa" w:w="80"/>
            </w:tcMar>
          </w:tcPr>
          <w:p>
            <w:pPr>
              <w:jc w:val="right"/>
            </w:pPr>
            <w:r>
              <w:rPr>
                <w:rFonts w:ascii="Arial" w:cs="Arial" w:eastAsia="Arial" w:hAnsi="Arial"/>
                <w:sz w:val="18"/>
                <w:szCs w:val="18"/>
              </w:rPr>
              <w:t xml:space="preserve">27,527</w:t>
            </w:r>
          </w:p>
        </w:tc>
        <w:tc>
          <w:tcPr>
            <w:tcMar>
              <w:top w:type="dxa" w:w="40"/>
              <w:left w:type="dxa" w:w="80"/>
              <w:bottom w:type="dxa" w:w="40"/>
              <w:right w:type="dxa" w:w="80"/>
            </w:tcMar>
          </w:tcPr>
          <w:p>
            <w:pPr>
              <w:jc w:val="right"/>
            </w:pPr>
            <w:r>
              <w:rPr>
                <w:rFonts w:ascii="Arial" w:cs="Arial" w:eastAsia="Arial" w:hAnsi="Arial"/>
                <w:sz w:val="18"/>
                <w:szCs w:val="18"/>
              </w:rPr>
              <w:t xml:space="preserve">53,825</w:t>
            </w:r>
          </w:p>
        </w:tc>
      </w:tr>
      <w:tr>
        <w:tc>
          <w:tcPr>
            <w:tcMar>
              <w:top w:type="dxa" w:w="40"/>
              <w:left w:type="dxa" w:w="80"/>
              <w:bottom w:type="dxa" w:w="40"/>
              <w:right w:type="dxa" w:w="80"/>
            </w:tcMar>
          </w:tcPr>
          <w:p>
            <w:r>
              <w:rPr>
                <w:rFonts w:ascii="Arial" w:cs="Arial" w:eastAsia="Arial" w:hAnsi="Arial"/>
                <w:sz w:val="18"/>
                <w:szCs w:val="18"/>
              </w:rPr>
              <w:t xml:space="preserve">Investments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93,843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2,349,957</w:t>
            </w:r>
          </w:p>
        </w:tc>
        <w:tc>
          <w:tcPr>
            <w:tcMar>
              <w:top w:type="dxa" w:w="40"/>
              <w:left w:type="dxa" w:w="80"/>
              <w:bottom w:type="dxa" w:w="40"/>
              <w:right w:type="dxa" w:w="80"/>
            </w:tcMar>
          </w:tcPr>
          <w:p>
            <w:pPr>
              <w:jc w:val="right"/>
            </w:pPr>
            <w:r>
              <w:rPr>
                <w:rFonts w:ascii="Arial" w:cs="Arial" w:eastAsia="Arial" w:hAnsi="Arial"/>
                <w:sz w:val="18"/>
                <w:szCs w:val="18"/>
              </w:rPr>
              <w:t xml:space="preserve">97,662</w:t>
            </w:r>
          </w:p>
        </w:tc>
        <w:tc>
          <w:tcPr>
            <w:tcMar>
              <w:top w:type="dxa" w:w="40"/>
              <w:left w:type="dxa" w:w="80"/>
              <w:bottom w:type="dxa" w:w="40"/>
              <w:right w:type="dxa" w:w="80"/>
            </w:tcMar>
          </w:tcPr>
          <w:p>
            <w:pPr>
              <w:jc w:val="right"/>
            </w:pPr>
            <w:r>
              <w:rPr>
                <w:rFonts w:ascii="Arial" w:cs="Arial" w:eastAsia="Arial" w:hAnsi="Arial"/>
                <w:sz w:val="18"/>
                <w:szCs w:val="18"/>
              </w:rPr>
              <w:t xml:space="preserve">99,843</w:t>
            </w:r>
          </w:p>
        </w:tc>
        <w:tc>
          <w:tcPr>
            <w:tcMar>
              <w:top w:type="dxa" w:w="40"/>
              <w:left w:type="dxa" w:w="80"/>
              <w:bottom w:type="dxa" w:w="40"/>
              <w:right w:type="dxa" w:w="80"/>
            </w:tcMar>
          </w:tcPr>
          <w:p>
            <w:pPr>
              <w:jc w:val="right"/>
            </w:pPr>
            <w:r>
              <w:rPr>
                <w:rFonts w:ascii="Arial" w:cs="Arial" w:eastAsia="Arial" w:hAnsi="Arial"/>
                <w:sz w:val="18"/>
                <w:szCs w:val="18"/>
              </w:rPr>
              <w:t xml:space="preserve">94,314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106,286</w:t>
            </w:r>
          </w:p>
        </w:tc>
        <w:tc>
          <w:tcPr>
            <w:tcMar>
              <w:top w:type="dxa" w:w="40"/>
              <w:left w:type="dxa" w:w="80"/>
              <w:bottom w:type="dxa" w:w="40"/>
              <w:right w:type="dxa" w:w="80"/>
            </w:tcMar>
          </w:tcPr>
          <w:p>
            <w:pPr>
              <w:jc w:val="right"/>
            </w:pPr>
            <w:r>
              <w:rPr>
                <w:rFonts w:ascii="Arial" w:cs="Arial" w:eastAsia="Arial" w:hAnsi="Arial"/>
                <w:sz w:val="18"/>
                <w:szCs w:val="18"/>
              </w:rPr>
              <w:t xml:space="preserve">103,056</w:t>
            </w:r>
          </w:p>
        </w:tc>
        <w:tc>
          <w:tcPr>
            <w:tcMar>
              <w:top w:type="dxa" w:w="40"/>
              <w:left w:type="dxa" w:w="80"/>
              <w:bottom w:type="dxa" w:w="40"/>
              <w:right w:type="dxa" w:w="80"/>
            </w:tcMar>
          </w:tcPr>
          <w:p>
            <w:pPr>
              <w:jc w:val="right"/>
            </w:pPr>
            <w:r>
              <w:rPr>
                <w:rFonts w:ascii="Arial" w:cs="Arial" w:eastAsia="Arial" w:hAnsi="Arial"/>
                <w:sz w:val="18"/>
                <w:szCs w:val="18"/>
              </w:rPr>
              <w:t xml:space="preserve">109,781</w:t>
            </w:r>
          </w:p>
        </w:tc>
      </w:tr>
      <w:tr>
        <w:tc>
          <w:tcPr>
            <w:tcMar>
              <w:top w:type="dxa" w:w="40"/>
              <w:left w:type="dxa" w:w="80"/>
              <w:bottom w:type="dxa" w:w="40"/>
              <w:right w:type="dxa" w:w="80"/>
            </w:tcMar>
          </w:tcPr>
          <w:p>
            <w:r>
              <w:rPr>
                <w:rFonts w:ascii="Arial" w:cs="Arial" w:eastAsia="Arial" w:hAnsi="Arial"/>
                <w:sz w:val="18"/>
                <w:szCs w:val="18"/>
              </w:rPr>
              <w:t xml:space="preserve">Depreciation &amp; amortisation</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52,676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30,416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59,648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24,088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46,549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Total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2,727,273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2,735,326</w:t>
            </w:r>
          </w:p>
        </w:tc>
        <w:tc>
          <w:tcPr>
            <w:tcMar>
              <w:top w:type="dxa" w:w="40"/>
              <w:left w:type="dxa" w:w="80"/>
              <w:bottom w:type="dxa" w:w="40"/>
              <w:right w:type="dxa" w:w="80"/>
            </w:tcMar>
          </w:tcPr>
          <w:p>
            <w:pPr>
              <w:jc w:val="right"/>
            </w:pPr>
            <w:r>
              <w:rPr>
                <w:rFonts w:ascii="Arial" w:cs="Arial" w:eastAsia="Arial" w:hAnsi="Arial"/>
                <w:sz w:val="18"/>
                <w:szCs w:val="18"/>
              </w:rPr>
              <w:t xml:space="preserve">2,823,202</w:t>
            </w:r>
          </w:p>
        </w:tc>
        <w:tc>
          <w:tcPr>
            <w:tcMar>
              <w:top w:type="dxa" w:w="40"/>
              <w:left w:type="dxa" w:w="80"/>
              <w:bottom w:type="dxa" w:w="40"/>
              <w:right w:type="dxa" w:w="80"/>
            </w:tcMar>
          </w:tcPr>
          <w:p>
            <w:pPr>
              <w:jc w:val="right"/>
            </w:pPr>
            <w:r>
              <w:rPr>
                <w:rFonts w:ascii="Arial" w:cs="Arial" w:eastAsia="Arial" w:hAnsi="Arial"/>
                <w:sz w:val="18"/>
                <w:szCs w:val="18"/>
              </w:rPr>
              <w:t xml:space="preserve">2,837,957</w:t>
            </w:r>
          </w:p>
        </w:tc>
        <w:tc>
          <w:tcPr>
            <w:tcMar>
              <w:top w:type="dxa" w:w="40"/>
              <w:left w:type="dxa" w:w="80"/>
              <w:bottom w:type="dxa" w:w="40"/>
              <w:right w:type="dxa" w:w="80"/>
            </w:tcMar>
          </w:tcPr>
          <w:p>
            <w:pPr>
              <w:jc w:val="right"/>
            </w:pPr>
            <w:r>
              <w:rPr>
                <w:rFonts w:ascii="Arial" w:cs="Arial" w:eastAsia="Arial" w:hAnsi="Arial"/>
                <w:sz w:val="18"/>
                <w:szCs w:val="18"/>
              </w:rPr>
              <w:t xml:space="preserve">2,875,949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2,884,118</w:t>
            </w:r>
          </w:p>
        </w:tc>
        <w:tc>
          <w:tcPr>
            <w:tcMar>
              <w:top w:type="dxa" w:w="40"/>
              <w:left w:type="dxa" w:w="80"/>
              <w:bottom w:type="dxa" w:w="40"/>
              <w:right w:type="dxa" w:w="80"/>
            </w:tcMar>
          </w:tcPr>
          <w:p>
            <w:pPr>
              <w:jc w:val="right"/>
            </w:pPr>
            <w:r>
              <w:rPr>
                <w:rFonts w:ascii="Arial" w:cs="Arial" w:eastAsia="Arial" w:hAnsi="Arial"/>
                <w:sz w:val="18"/>
                <w:szCs w:val="18"/>
              </w:rPr>
              <w:t xml:space="preserve">2,913,442</w:t>
            </w:r>
          </w:p>
        </w:tc>
        <w:tc>
          <w:tcPr>
            <w:tcMar>
              <w:top w:type="dxa" w:w="40"/>
              <w:left w:type="dxa" w:w="80"/>
              <w:bottom w:type="dxa" w:w="40"/>
              <w:right w:type="dxa" w:w="80"/>
            </w:tcMar>
          </w:tcPr>
          <w:p>
            <w:pPr>
              <w:jc w:val="right"/>
            </w:pPr>
            <w:r>
              <w:rPr>
                <w:rFonts w:ascii="Arial" w:cs="Arial" w:eastAsia="Arial" w:hAnsi="Arial"/>
                <w:sz w:val="18"/>
                <w:szCs w:val="18"/>
              </w:rPr>
              <w:t xml:space="preserve">2,905,267</w:t>
            </w:r>
          </w:p>
        </w:tc>
        <w:tc>
          <w:tcPr>
            <w:tcMar>
              <w:top w:type="dxa" w:w="40"/>
              <w:left w:type="dxa" w:w="80"/>
              <w:bottom w:type="dxa" w:w="40"/>
              <w:right w:type="dxa" w:w="80"/>
            </w:tcMar>
          </w:tcPr>
          <w:p>
            <w:pPr>
              <w:jc w:val="right"/>
            </w:pPr>
            <w:r>
              <w:rPr>
                <w:rFonts w:ascii="Arial" w:cs="Arial" w:eastAsia="Arial" w:hAnsi="Arial"/>
                <w:sz w:val="18"/>
                <w:szCs w:val="18"/>
              </w:rPr>
              <w:t xml:space="preserve">2,714,510</w:t>
            </w:r>
          </w:p>
        </w:tc>
      </w:tr>
      <w:tr>
        <w:tc>
          <w:tcPr>
            <w:tcMar>
              <w:top w:type="dxa" w:w="40"/>
              <w:left w:type="dxa" w:w="80"/>
              <w:bottom w:type="dxa" w:w="40"/>
              <w:right w:type="dxa" w:w="80"/>
            </w:tcMar>
          </w:tcPr>
          <w:p>
            <w:r>
              <w:rPr>
                <w:rFonts w:ascii="Arial" w:cs="Arial" w:eastAsia="Arial" w:hAnsi="Arial"/>
                <w:sz w:val="18"/>
                <w:szCs w:val="18"/>
              </w:rPr>
              <w:t xml:space="preserve">Current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847,213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912,401</w:t>
            </w:r>
          </w:p>
        </w:tc>
        <w:tc>
          <w:tcPr>
            <w:tcMar>
              <w:top w:type="dxa" w:w="40"/>
              <w:left w:type="dxa" w:w="80"/>
              <w:bottom w:type="dxa" w:w="40"/>
              <w:right w:type="dxa" w:w="80"/>
            </w:tcMar>
          </w:tcPr>
          <w:p>
            <w:pPr>
              <w:jc w:val="right"/>
            </w:pPr>
            <w:r>
              <w:rPr>
                <w:rFonts w:ascii="Arial" w:cs="Arial" w:eastAsia="Arial" w:hAnsi="Arial"/>
                <w:sz w:val="18"/>
                <w:szCs w:val="18"/>
              </w:rPr>
              <w:t xml:space="preserve">940,784</w:t>
            </w:r>
          </w:p>
        </w:tc>
        <w:tc>
          <w:tcPr>
            <w:tcMar>
              <w:top w:type="dxa" w:w="40"/>
              <w:left w:type="dxa" w:w="80"/>
              <w:bottom w:type="dxa" w:w="40"/>
              <w:right w:type="dxa" w:w="80"/>
            </w:tcMar>
          </w:tcPr>
          <w:p>
            <w:pPr>
              <w:jc w:val="right"/>
            </w:pPr>
            <w:r>
              <w:rPr>
                <w:rFonts w:ascii="Arial" w:cs="Arial" w:eastAsia="Arial" w:hAnsi="Arial"/>
                <w:sz w:val="18"/>
                <w:szCs w:val="18"/>
              </w:rPr>
              <w:t xml:space="preserve">893,979</w:t>
            </w:r>
          </w:p>
        </w:tc>
        <w:tc>
          <w:tcPr>
            <w:tcMar>
              <w:top w:type="dxa" w:w="40"/>
              <w:left w:type="dxa" w:w="80"/>
              <w:bottom w:type="dxa" w:w="40"/>
              <w:right w:type="dxa" w:w="80"/>
            </w:tcMar>
          </w:tcPr>
          <w:p>
            <w:pPr>
              <w:jc w:val="right"/>
            </w:pPr>
            <w:r>
              <w:rPr>
                <w:rFonts w:ascii="Arial" w:cs="Arial" w:eastAsia="Arial" w:hAnsi="Arial"/>
                <w:sz w:val="18"/>
                <w:szCs w:val="18"/>
              </w:rPr>
              <w:t xml:space="preserve">953,620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989,144</w:t>
            </w:r>
          </w:p>
        </w:tc>
        <w:tc>
          <w:tcPr>
            <w:tcMar>
              <w:top w:type="dxa" w:w="40"/>
              <w:left w:type="dxa" w:w="80"/>
              <w:bottom w:type="dxa" w:w="40"/>
              <w:right w:type="dxa" w:w="80"/>
            </w:tcMar>
          </w:tcPr>
          <w:p>
            <w:pPr>
              <w:jc w:val="right"/>
            </w:pPr>
            <w:r>
              <w:rPr>
                <w:rFonts w:ascii="Arial" w:cs="Arial" w:eastAsia="Arial" w:hAnsi="Arial"/>
                <w:sz w:val="18"/>
                <w:szCs w:val="18"/>
              </w:rPr>
              <w:t xml:space="preserve">965,765</w:t>
            </w:r>
          </w:p>
        </w:tc>
        <w:tc>
          <w:tcPr>
            <w:tcMar>
              <w:top w:type="dxa" w:w="40"/>
              <w:left w:type="dxa" w:w="80"/>
              <w:bottom w:type="dxa" w:w="40"/>
              <w:right w:type="dxa" w:w="80"/>
            </w:tcMar>
          </w:tcPr>
          <w:p>
            <w:pPr>
              <w:jc w:val="right"/>
            </w:pPr>
            <w:r>
              <w:rPr>
                <w:rFonts w:ascii="Arial" w:cs="Arial" w:eastAsia="Arial" w:hAnsi="Arial"/>
                <w:sz w:val="18"/>
                <w:szCs w:val="18"/>
              </w:rPr>
              <w:t xml:space="preserve">983,365</w:t>
            </w:r>
          </w:p>
        </w:tc>
        <w:tc>
          <w:tcPr>
            <w:tcMar>
              <w:top w:type="dxa" w:w="40"/>
              <w:left w:type="dxa" w:w="80"/>
              <w:bottom w:type="dxa" w:w="40"/>
              <w:right w:type="dxa" w:w="80"/>
            </w:tcMar>
          </w:tcPr>
          <w:p>
            <w:pPr>
              <w:jc w:val="right"/>
            </w:pPr>
            <w:r>
              <w:rPr>
                <w:rFonts w:ascii="Arial" w:cs="Arial" w:eastAsia="Arial" w:hAnsi="Arial"/>
                <w:sz w:val="18"/>
                <w:szCs w:val="18"/>
              </w:rPr>
              <w:t xml:space="preserve">768,266</w:t>
            </w:r>
          </w:p>
        </w:tc>
      </w:tr>
      <w:tr>
        <w:tc>
          <w:tcPr>
            <w:tcMar>
              <w:top w:type="dxa" w:w="40"/>
              <w:left w:type="dxa" w:w="80"/>
              <w:bottom w:type="dxa" w:w="40"/>
              <w:right w:type="dxa" w:w="80"/>
            </w:tcMar>
          </w:tcPr>
          <w:p>
            <w:r>
              <w:rPr>
                <w:rFonts w:ascii="Arial" w:cs="Arial" w:eastAsia="Arial" w:hAnsi="Arial"/>
                <w:sz w:val="18"/>
                <w:szCs w:val="18"/>
              </w:rPr>
              <w:t xml:space="preserve">Total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2,144,253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2,182,292</w:t>
            </w:r>
          </w:p>
        </w:tc>
        <w:tc>
          <w:tcPr>
            <w:tcMar>
              <w:top w:type="dxa" w:w="40"/>
              <w:left w:type="dxa" w:w="80"/>
              <w:bottom w:type="dxa" w:w="40"/>
              <w:right w:type="dxa" w:w="80"/>
            </w:tcMar>
          </w:tcPr>
          <w:p>
            <w:pPr>
              <w:jc w:val="right"/>
            </w:pPr>
            <w:r>
              <w:rPr>
                <w:rFonts w:ascii="Arial" w:cs="Arial" w:eastAsia="Arial" w:hAnsi="Arial"/>
                <w:sz w:val="18"/>
                <w:szCs w:val="18"/>
              </w:rPr>
              <w:t xml:space="preserve">2,215,318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2,313,355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2,333,695</w:t>
            </w:r>
          </w:p>
        </w:tc>
        <w:tc>
          <w:tcPr>
            <w:tcMar>
              <w:top w:type="dxa" w:w="40"/>
              <w:left w:type="dxa" w:w="80"/>
              <w:bottom w:type="dxa" w:w="40"/>
              <w:right w:type="dxa" w:w="80"/>
            </w:tcMar>
          </w:tcPr>
          <w:p>
            <w:pPr>
              <w:jc w:val="right"/>
            </w:pPr>
            <w:r>
              <w:rPr>
                <w:rFonts w:ascii="Arial" w:cs="Arial" w:eastAsia="Arial" w:hAnsi="Arial"/>
                <w:sz w:val="18"/>
                <w:szCs w:val="18"/>
              </w:rPr>
              <w:t xml:space="preserve">2,273,434</w:t>
            </w:r>
          </w:p>
        </w:tc>
        <w:tc>
          <w:tcPr>
            <w:tcMar>
              <w:top w:type="dxa" w:w="40"/>
              <w:left w:type="dxa" w:w="80"/>
              <w:bottom w:type="dxa" w:w="40"/>
              <w:right w:type="dxa" w:w="80"/>
            </w:tcMar>
          </w:tcPr>
          <w:p>
            <w:pPr>
              <w:jc w:val="right"/>
            </w:pPr>
            <w:r>
              <w:rPr>
                <w:rFonts w:ascii="Arial" w:cs="Arial" w:eastAsia="Arial" w:hAnsi="Arial"/>
                <w:sz w:val="18"/>
                <w:szCs w:val="18"/>
              </w:rPr>
              <w:t xml:space="preserve">2,188,434</w:t>
            </w:r>
          </w:p>
        </w:tc>
      </w:tr>
      <w:tr>
        <w:tc>
          <w:tcPr>
            <w:tcMar>
              <w:top w:type="dxa" w:w="40"/>
              <w:left w:type="dxa" w:w="80"/>
              <w:bottom w:type="dxa" w:w="40"/>
              <w:right w:type="dxa" w:w="80"/>
            </w:tcMar>
          </w:tcPr>
          <w:p>
            <w:r>
              <w:rPr>
                <w:rFonts w:ascii="Arial" w:cs="Arial" w:eastAsia="Arial" w:hAnsi="Arial"/>
                <w:sz w:val="18"/>
                <w:szCs w:val="18"/>
              </w:rPr>
              <w:t xml:space="preserve">Short-term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380,164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478,768</w:t>
            </w:r>
          </w:p>
        </w:tc>
        <w:tc>
          <w:tcPr>
            <w:tcMar>
              <w:top w:type="dxa" w:w="40"/>
              <w:left w:type="dxa" w:w="80"/>
              <w:bottom w:type="dxa" w:w="40"/>
              <w:right w:type="dxa" w:w="80"/>
            </w:tcMar>
          </w:tcPr>
          <w:p>
            <w:pPr>
              <w:jc w:val="right"/>
            </w:pPr>
            <w:r>
              <w:rPr>
                <w:rFonts w:ascii="Arial" w:cs="Arial" w:eastAsia="Arial" w:hAnsi="Arial"/>
                <w:sz w:val="18"/>
                <w:szCs w:val="18"/>
              </w:rPr>
              <w:t xml:space="preserve">461,471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520,812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513,066</w:t>
            </w:r>
          </w:p>
        </w:tc>
        <w:tc>
          <w:tcPr>
            <w:tcMar>
              <w:top w:type="dxa" w:w="40"/>
              <w:left w:type="dxa" w:w="80"/>
              <w:bottom w:type="dxa" w:w="40"/>
              <w:right w:type="dxa" w:w="80"/>
            </w:tcMar>
          </w:tcPr>
          <w:p>
            <w:pPr>
              <w:jc w:val="right"/>
            </w:pPr>
            <w:r>
              <w:rPr>
                <w:rFonts w:ascii="Arial" w:cs="Arial" w:eastAsia="Arial" w:hAnsi="Arial"/>
                <w:sz w:val="18"/>
                <w:szCs w:val="18"/>
              </w:rPr>
              <w:t xml:space="preserve">477,075</w:t>
            </w:r>
          </w:p>
        </w:tc>
        <w:tc>
          <w:tcPr>
            <w:tcMar>
              <w:top w:type="dxa" w:w="40"/>
              <w:left w:type="dxa" w:w="80"/>
              <w:bottom w:type="dxa" w:w="40"/>
              <w:right w:type="dxa" w:w="80"/>
            </w:tcMar>
          </w:tcPr>
          <w:p>
            <w:pPr>
              <w:jc w:val="right"/>
            </w:pPr>
            <w:r>
              <w:rPr>
                <w:rFonts w:ascii="Arial" w:cs="Arial" w:eastAsia="Arial" w:hAnsi="Arial"/>
                <w:sz w:val="18"/>
                <w:szCs w:val="18"/>
              </w:rPr>
              <w:t xml:space="preserve">368,100</w:t>
            </w:r>
          </w:p>
        </w:tc>
      </w:tr>
      <w:tr>
        <w:tc>
          <w:tcPr>
            <w:tcMar>
              <w:top w:type="dxa" w:w="40"/>
              <w:left w:type="dxa" w:w="80"/>
              <w:bottom w:type="dxa" w:w="40"/>
              <w:right w:type="dxa" w:w="80"/>
            </w:tcMar>
          </w:tcPr>
          <w:p>
            <w:r>
              <w:rPr>
                <w:rFonts w:ascii="Arial" w:cs="Arial" w:eastAsia="Arial" w:hAnsi="Arial"/>
                <w:sz w:val="18"/>
                <w:szCs w:val="18"/>
              </w:rPr>
              <w:t xml:space="preserve">Operating cash flow</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404,090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97,171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188,087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69,920</w:t>
            </w:r>
          </w:p>
        </w:tc>
        <w:tc>
          <w:tcPr>
            <w:tcMar>
              <w:top w:type="dxa" w:w="40"/>
              <w:left w:type="dxa" w:w="80"/>
              <w:bottom w:type="dxa" w:w="40"/>
              <w:right w:type="dxa" w:w="80"/>
            </w:tcMar>
          </w:tcPr>
          <w:p>
            <w:pPr>
              <w:jc w:val="right"/>
            </w:pPr>
            <w:r>
              <w:rPr>
                <w:rFonts w:ascii="Arial" w:cs="Arial" w:eastAsia="Arial" w:hAnsi="Arial"/>
                <w:sz w:val="18"/>
                <w:szCs w:val="18"/>
              </w:rPr>
              <w:t xml:space="preserve">-4,531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194,653</w:t>
            </w:r>
          </w:p>
        </w:tc>
        <w:tc>
          <w:tcPr>
            <w:tcMar>
              <w:top w:type="dxa" w:w="40"/>
              <w:left w:type="dxa" w:w="80"/>
              <w:bottom w:type="dxa" w:w="40"/>
              <w:right w:type="dxa" w:w="80"/>
            </w:tcMar>
          </w:tcPr>
          <w:p>
            <w:pPr>
              <w:jc w:val="right"/>
            </w:pPr>
            <w:r>
              <w:rPr>
                <w:rFonts w:ascii="Arial" w:cs="Arial" w:eastAsia="Arial" w:hAnsi="Arial"/>
                <w:sz w:val="18"/>
                <w:szCs w:val="18"/>
              </w:rPr>
              <w:t xml:space="preserve">106,073</w:t>
            </w:r>
          </w:p>
        </w:tc>
        <w:tc>
          <w:tcPr>
            <w:tcMar>
              <w:top w:type="dxa" w:w="40"/>
              <w:left w:type="dxa" w:w="80"/>
              <w:bottom w:type="dxa" w:w="40"/>
              <w:right w:type="dxa" w:w="80"/>
            </w:tcMar>
          </w:tcPr>
          <w:p>
            <w:pPr>
              <w:jc w:val="right"/>
            </w:pPr>
            <w:r>
              <w:rPr>
                <w:rFonts w:ascii="Arial" w:cs="Arial" w:eastAsia="Arial" w:hAnsi="Arial"/>
                <w:sz w:val="18"/>
                <w:szCs w:val="18"/>
              </w:rPr>
              <w:t xml:space="preserve">121,218</w:t>
            </w:r>
          </w:p>
        </w:tc>
      </w:tr>
      <w:tr>
        <w:tc>
          <w:tcPr>
            <w:tcMar>
              <w:top w:type="dxa" w:w="40"/>
              <w:left w:type="dxa" w:w="80"/>
              <w:bottom w:type="dxa" w:w="40"/>
              <w:right w:type="dxa" w:w="80"/>
            </w:tcMar>
          </w:tcPr>
          <w:p>
            <w:r>
              <w:rPr>
                <w:rFonts w:ascii="Arial" w:cs="Arial" w:eastAsia="Arial" w:hAnsi="Arial"/>
                <w:sz w:val="18"/>
                <w:szCs w:val="18"/>
              </w:rPr>
              <w:t xml:space="preserve">Long-term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1,764,089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1,703,524</w:t>
            </w:r>
          </w:p>
        </w:tc>
        <w:tc>
          <w:tcPr>
            <w:tcMar>
              <w:top w:type="dxa" w:w="40"/>
              <w:left w:type="dxa" w:w="80"/>
              <w:bottom w:type="dxa" w:w="40"/>
              <w:right w:type="dxa" w:w="80"/>
            </w:tcMar>
          </w:tcPr>
          <w:p>
            <w:pPr>
              <w:jc w:val="right"/>
            </w:pPr>
            <w:r>
              <w:rPr>
                <w:rFonts w:ascii="Arial" w:cs="Arial" w:eastAsia="Arial" w:hAnsi="Arial"/>
                <w:sz w:val="18"/>
                <w:szCs w:val="18"/>
              </w:rPr>
              <w:t xml:space="preserve">1,753,847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1,792,543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1,765,934</w:t>
            </w:r>
          </w:p>
        </w:tc>
        <w:tc>
          <w:tcPr>
            <w:tcMar>
              <w:top w:type="dxa" w:w="40"/>
              <w:left w:type="dxa" w:w="80"/>
              <w:bottom w:type="dxa" w:w="40"/>
              <w:right w:type="dxa" w:w="80"/>
            </w:tcMar>
          </w:tcPr>
          <w:p>
            <w:pPr>
              <w:jc w:val="right"/>
            </w:pPr>
            <w:r>
              <w:rPr>
                <w:rFonts w:ascii="Arial" w:cs="Arial" w:eastAsia="Arial" w:hAnsi="Arial"/>
                <w:sz w:val="18"/>
                <w:szCs w:val="18"/>
              </w:rPr>
              <w:t xml:space="preserve">1,820,632</w:t>
            </w:r>
          </w:p>
        </w:tc>
        <w:tc>
          <w:tcPr>
            <w:tcMar>
              <w:top w:type="dxa" w:w="40"/>
              <w:left w:type="dxa" w:w="80"/>
              <w:bottom w:type="dxa" w:w="40"/>
              <w:right w:type="dxa" w:w="80"/>
            </w:tcMar>
          </w:tcPr>
          <w:p>
            <w:pPr>
              <w:jc w:val="right"/>
            </w:pPr>
            <w:r>
              <w:rPr>
                <w:rFonts w:ascii="Arial" w:cs="Arial" w:eastAsia="Arial" w:hAnsi="Arial"/>
                <w:sz w:val="18"/>
                <w:szCs w:val="18"/>
              </w:rPr>
              <w:t xml:space="preserve">1,796,359</w:t>
            </w:r>
          </w:p>
        </w:tc>
        <w:tc>
          <w:tcPr>
            <w:tcMar>
              <w:top w:type="dxa" w:w="40"/>
              <w:left w:type="dxa" w:w="80"/>
              <w:bottom w:type="dxa" w:w="40"/>
              <w:right w:type="dxa" w:w="80"/>
            </w:tcMar>
          </w:tcPr>
          <w:p>
            <w:pPr>
              <w:jc w:val="right"/>
            </w:pPr>
            <w:r>
              <w:rPr>
                <w:rFonts w:ascii="Arial" w:cs="Arial" w:eastAsia="Arial" w:hAnsi="Arial"/>
                <w:sz w:val="18"/>
                <w:szCs w:val="18"/>
              </w:rPr>
              <w:t xml:space="preserve">1,820,334</w:t>
            </w:r>
          </w:p>
        </w:tc>
      </w:tr>
      <w:tr>
        <w:tc>
          <w:tcPr>
            <w:tcMar>
              <w:top w:type="dxa" w:w="40"/>
              <w:left w:type="dxa" w:w="80"/>
              <w:bottom w:type="dxa" w:w="40"/>
              <w:right w:type="dxa" w:w="80"/>
            </w:tcMar>
          </w:tcPr>
          <w:p>
            <w:r>
              <w:rPr>
                <w:rFonts w:ascii="Arial" w:cs="Arial" w:eastAsia="Arial" w:hAnsi="Arial"/>
                <w:sz w:val="18"/>
                <w:szCs w:val="18"/>
              </w:rPr>
              <w:t xml:space="preserve">Capital expenditure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-38,069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-59,261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-129,648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-54,903</w:t>
            </w:r>
          </w:p>
        </w:tc>
        <w:tc>
          <w:tcPr>
            <w:tcMar>
              <w:top w:type="dxa" w:w="40"/>
              <w:left w:type="dxa" w:w="80"/>
              <w:bottom w:type="dxa" w:w="40"/>
              <w:right w:type="dxa" w:w="80"/>
            </w:tcMar>
          </w:tcPr>
          <w:p>
            <w:pPr>
              <w:jc w:val="right"/>
            </w:pPr>
            <w:r>
              <w:rPr>
                <w:rFonts w:ascii="Arial" w:cs="Arial" w:eastAsia="Arial" w:hAnsi="Arial"/>
                <w:sz w:val="18"/>
                <w:szCs w:val="18"/>
              </w:rPr>
              <w:t xml:space="preserve">-34,276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-88,330</w:t>
            </w:r>
          </w:p>
        </w:tc>
        <w:tc>
          <w:tcPr>
            <w:tcMar>
              <w:top w:type="dxa" w:w="40"/>
              <w:left w:type="dxa" w:w="80"/>
              <w:bottom w:type="dxa" w:w="40"/>
              <w:right w:type="dxa" w:w="80"/>
            </w:tcMar>
          </w:tcPr>
          <w:p>
            <w:pPr>
              <w:jc w:val="right"/>
            </w:pPr>
            <w:r>
              <w:rPr>
                <w:rFonts w:ascii="Arial" w:cs="Arial" w:eastAsia="Arial" w:hAnsi="Arial"/>
                <w:sz w:val="18"/>
                <w:szCs w:val="18"/>
              </w:rPr>
              <w:t xml:space="preserve">-5,845</w:t>
            </w:r>
          </w:p>
        </w:tc>
        <w:tc>
          <w:tcPr>
            <w:tcMar>
              <w:top w:type="dxa" w:w="40"/>
              <w:left w:type="dxa" w:w="80"/>
              <w:bottom w:type="dxa" w:w="40"/>
              <w:right w:type="dxa" w:w="80"/>
            </w:tcMar>
          </w:tcPr>
          <w:p>
            <w:pPr>
              <w:jc w:val="right"/>
            </w:pPr>
            <w:r>
              <w:rPr>
                <w:rFonts w:ascii="Arial" w:cs="Arial" w:eastAsia="Arial" w:hAnsi="Arial"/>
                <w:sz w:val="18"/>
                <w:szCs w:val="18"/>
              </w:rPr>
              <w:t xml:space="preserve">-12,952</w:t>
            </w:r>
          </w:p>
        </w:tc>
      </w:tr>
      <w:tr>
        <w:tc>
          <w:tcPr>
            <w:tcMar>
              <w:top w:type="dxa" w:w="40"/>
              <w:left w:type="dxa" w:w="80"/>
              <w:bottom w:type="dxa" w:w="40"/>
              <w:right w:type="dxa" w:w="80"/>
            </w:tcMar>
          </w:tcPr>
          <w:p>
            <w:r>
              <w:rPr>
                <w:rFonts w:ascii="Arial" w:cs="Arial" w:eastAsia="Arial" w:hAnsi="Arial"/>
                <w:sz w:val="18"/>
                <w:szCs w:val="18"/>
              </w:rPr>
              <w:t xml:space="preserve">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1,730,670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1,713,711</w:t>
            </w:r>
          </w:p>
        </w:tc>
        <w:tc>
          <w:tcPr>
            <w:tcMar>
              <w:top w:type="dxa" w:w="40"/>
              <w:left w:type="dxa" w:w="80"/>
              <w:bottom w:type="dxa" w:w="40"/>
              <w:right w:type="dxa" w:w="80"/>
            </w:tcMar>
          </w:tcPr>
          <w:p>
            <w:pPr>
              <w:jc w:val="right"/>
            </w:pPr>
            <w:r>
              <w:rPr>
                <w:rFonts w:ascii="Arial" w:cs="Arial" w:eastAsia="Arial" w:hAnsi="Arial"/>
                <w:sz w:val="18"/>
                <w:szCs w:val="18"/>
              </w:rPr>
              <w:t xml:space="preserve">1,709,284</w:t>
            </w:r>
          </w:p>
        </w:tc>
        <w:tc>
          <w:tcPr>
            <w:tcMar>
              <w:top w:type="dxa" w:w="40"/>
              <w:left w:type="dxa" w:w="80"/>
              <w:bottom w:type="dxa" w:w="40"/>
              <w:right w:type="dxa" w:w="80"/>
            </w:tcMar>
          </w:tcPr>
          <w:p>
            <w:pPr>
              <w:jc w:val="right"/>
            </w:pPr>
            <w:r>
              <w:rPr>
                <w:rFonts w:ascii="Arial" w:cs="Arial" w:eastAsia="Arial" w:hAnsi="Arial"/>
                <w:sz w:val="18"/>
                <w:szCs w:val="18"/>
              </w:rPr>
              <w:t xml:space="preserve">1,691,194</w:t>
            </w:r>
          </w:p>
        </w:tc>
        <w:tc>
          <w:tcPr>
            <w:tcMar>
              <w:top w:type="dxa" w:w="40"/>
              <w:left w:type="dxa" w:w="80"/>
              <w:bottom w:type="dxa" w:w="40"/>
              <w:right w:type="dxa" w:w="80"/>
            </w:tcMar>
          </w:tcPr>
          <w:p>
            <w:pPr>
              <w:jc w:val="right"/>
            </w:pPr>
            <w:r>
              <w:rPr>
                <w:rFonts w:ascii="Arial" w:cs="Arial" w:eastAsia="Arial" w:hAnsi="Arial"/>
                <w:sz w:val="18"/>
                <w:szCs w:val="18"/>
              </w:rPr>
              <w:t xml:space="preserve">1,713,248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1,746,870</w:t>
            </w:r>
          </w:p>
        </w:tc>
        <w:tc>
          <w:tcPr>
            <w:tcMar>
              <w:top w:type="dxa" w:w="40"/>
              <w:left w:type="dxa" w:w="80"/>
              <w:bottom w:type="dxa" w:w="40"/>
              <w:right w:type="dxa" w:w="80"/>
            </w:tcMar>
          </w:tcPr>
          <w:p>
            <w:pPr>
              <w:jc w:val="right"/>
            </w:pPr>
            <w:r>
              <w:rPr>
                <w:rFonts w:ascii="Arial" w:cs="Arial" w:eastAsia="Arial" w:hAnsi="Arial"/>
                <w:sz w:val="18"/>
                <w:szCs w:val="18"/>
              </w:rPr>
              <w:t xml:space="preserve">1,776,035</w:t>
            </w:r>
          </w:p>
        </w:tc>
        <w:tc>
          <w:tcPr>
            <w:tcMar>
              <w:top w:type="dxa" w:w="40"/>
              <w:left w:type="dxa" w:w="80"/>
              <w:bottom w:type="dxa" w:w="40"/>
              <w:right w:type="dxa" w:w="80"/>
            </w:tcMar>
          </w:tcPr>
          <w:p>
            <w:pPr>
              <w:jc w:val="right"/>
            </w:pPr>
            <w:r>
              <w:rPr>
                <w:rFonts w:ascii="Arial" w:cs="Arial" w:eastAsia="Arial" w:hAnsi="Arial"/>
                <w:sz w:val="18"/>
                <w:szCs w:val="18"/>
              </w:rPr>
              <w:t xml:space="preserve">1,731,789</w:t>
            </w:r>
          </w:p>
        </w:tc>
        <w:tc>
          <w:tcPr>
            <w:tcMar>
              <w:top w:type="dxa" w:w="40"/>
              <w:left w:type="dxa" w:w="80"/>
              <w:bottom w:type="dxa" w:w="40"/>
              <w:right w:type="dxa" w:w="80"/>
            </w:tcMar>
          </w:tcPr>
          <w:p>
            <w:pPr>
              <w:jc w:val="right"/>
            </w:pPr>
            <w:r>
              <w:rPr>
                <w:rFonts w:ascii="Arial" w:cs="Arial" w:eastAsia="Arial" w:hAnsi="Arial"/>
                <w:sz w:val="18"/>
                <w:szCs w:val="18"/>
              </w:rPr>
              <w:t xml:space="preserve">1,759,626</w:t>
            </w:r>
          </w:p>
        </w:tc>
      </w:tr>
      <w:tr>
        <w:tc>
          <w:tcPr>
            <w:tcMar>
              <w:top w:type="dxa" w:w="40"/>
              <w:left w:type="dxa" w:w="80"/>
              <w:bottom w:type="dxa" w:w="40"/>
              <w:right w:type="dxa" w:w="80"/>
            </w:tcMar>
          </w:tcPr>
          <w:p>
            <w:r>
              <w:rPr>
                <w:rFonts w:ascii="Arial" w:cs="Arial" w:eastAsia="Arial" w:hAnsi="Arial"/>
                <w:sz w:val="18"/>
                <w:szCs w:val="18"/>
              </w:rPr>
              <w:t xml:space="preserve">Dividends paid</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-68,589</w:t>
            </w:r>
          </w:p>
        </w:tc>
      </w:tr>
      <w:tr>
        <w:tc>
          <w:tcPr>
            <w:tcMar>
              <w:top w:type="dxa" w:w="40"/>
              <w:left w:type="dxa" w:w="80"/>
              <w:bottom w:type="dxa" w:w="40"/>
              <w:right w:type="dxa" w:w="80"/>
            </w:tcMar>
          </w:tcPr>
          <w:p>
            <w:r>
              <w:rPr>
                <w:rFonts w:ascii="Arial" w:cs="Arial" w:eastAsia="Arial" w:hAnsi="Arial"/>
                <w:sz w:val="18"/>
                <w:szCs w:val="18"/>
              </w:rPr>
              <w:t xml:space="preserve">Tangible 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1,660,260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1,645,881</w:t>
            </w:r>
          </w:p>
        </w:tc>
        <w:tc>
          <w:tcPr>
            <w:tcMar>
              <w:top w:type="dxa" w:w="40"/>
              <w:left w:type="dxa" w:w="80"/>
              <w:bottom w:type="dxa" w:w="40"/>
              <w:right w:type="dxa" w:w="80"/>
            </w:tcMar>
          </w:tcPr>
          <w:p>
            <w:pPr>
              <w:jc w:val="right"/>
            </w:pPr>
            <w:r>
              <w:rPr>
                <w:rFonts w:ascii="Arial" w:cs="Arial" w:eastAsia="Arial" w:hAnsi="Arial"/>
                <w:sz w:val="18"/>
                <w:szCs w:val="18"/>
              </w:rPr>
              <w:t xml:space="preserve">1,642,170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1,647,739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1,712,032</w:t>
            </w:r>
          </w:p>
        </w:tc>
        <w:tc>
          <w:tcPr>
            <w:tcMar>
              <w:top w:type="dxa" w:w="40"/>
              <w:left w:type="dxa" w:w="80"/>
              <w:bottom w:type="dxa" w:w="40"/>
              <w:right w:type="dxa" w:w="80"/>
            </w:tcMar>
          </w:tcPr>
          <w:p>
            <w:pPr>
              <w:jc w:val="right"/>
            </w:pPr>
            <w:r>
              <w:rPr>
                <w:rFonts w:ascii="Arial" w:cs="Arial" w:eastAsia="Arial" w:hAnsi="Arial"/>
                <w:sz w:val="18"/>
                <w:szCs w:val="18"/>
              </w:rPr>
              <w:t xml:space="preserve">1,668,494</w:t>
            </w:r>
          </w:p>
        </w:tc>
        <w:tc>
          <w:tcPr>
            <w:tcMar>
              <w:top w:type="dxa" w:w="40"/>
              <w:left w:type="dxa" w:w="80"/>
              <w:bottom w:type="dxa" w:w="40"/>
              <w:right w:type="dxa" w:w="80"/>
            </w:tcMar>
          </w:tcPr>
          <w:p>
            <w:pPr>
              <w:jc w:val="right"/>
            </w:pPr>
            <w:r>
              <w:rPr>
                <w:rFonts w:ascii="Arial" w:cs="Arial" w:eastAsia="Arial" w:hAnsi="Arial"/>
                <w:sz w:val="18"/>
                <w:szCs w:val="18"/>
              </w:rPr>
              <w:t xml:space="preserve">1,697,036</w:t>
            </w:r>
          </w:p>
        </w:tc>
      </w:tr>
      <w:tr>
        <w:tc>
          <w:tcPr>
            <w:tcMar>
              <w:top w:type="dxa" w:w="40"/>
              <w:left w:type="dxa" w:w="80"/>
              <w:bottom w:type="dxa" w:w="40"/>
              <w:right w:type="dxa" w:w="80"/>
            </w:tcMar>
          </w:tcPr>
          <w:p>
            <w:r>
              <w:rPr>
                <w:rFonts w:ascii="Arial" w:cs="Arial" w:eastAsia="Arial" w:hAnsi="Arial"/>
                <w:sz w:val="18"/>
                <w:szCs w:val="18"/>
              </w:rPr>
              <w:t xml:space="preserve">Debt service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814,373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-311,781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-613,509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-361,161</w:t>
            </w:r>
          </w:p>
        </w:tc>
        <w:tc>
          <w:tcPr>
            <w:tcMar>
              <w:top w:type="dxa" w:w="40"/>
              <w:left w:type="dxa" w:w="80"/>
              <w:bottom w:type="dxa" w:w="40"/>
              <w:right w:type="dxa" w:w="80"/>
            </w:tcMar>
          </w:tcPr>
          <w:p>
            <w:pPr>
              <w:jc w:val="right"/>
            </w:pPr>
            <w:r>
              <w:rPr>
                <w:rFonts w:ascii="Arial" w:cs="Arial" w:eastAsia="Arial" w:hAnsi="Arial"/>
                <w:sz w:val="18"/>
                <w:szCs w:val="18"/>
              </w:rPr>
              <w:t xml:space="preserve">-185,085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-676,999</w:t>
            </w:r>
          </w:p>
        </w:tc>
        <w:tc>
          <w:tcPr>
            <w:tcMar>
              <w:top w:type="dxa" w:w="40"/>
              <w:left w:type="dxa" w:w="80"/>
              <w:bottom w:type="dxa" w:w="40"/>
              <w:right w:type="dxa" w:w="80"/>
            </w:tcMar>
          </w:tcPr>
          <w:p>
            <w:pPr>
              <w:jc w:val="right"/>
            </w:pPr>
            <w:r>
              <w:rPr>
                <w:rFonts w:ascii="Arial" w:cs="Arial" w:eastAsia="Arial" w:hAnsi="Arial"/>
                <w:sz w:val="18"/>
                <w:szCs w:val="18"/>
              </w:rPr>
              <w:t xml:space="preserve">-159,980</w:t>
            </w:r>
          </w:p>
        </w:tc>
        <w:tc>
          <w:tcPr>
            <w:tcMar>
              <w:top w:type="dxa" w:w="40"/>
              <w:left w:type="dxa" w:w="80"/>
              <w:bottom w:type="dxa" w:w="40"/>
              <w:right w:type="dxa" w:w="80"/>
            </w:tcMar>
          </w:tcPr>
          <w:p>
            <w:pPr>
              <w:jc w:val="right"/>
            </w:pPr>
            <w:r>
              <w:rPr>
                <w:rFonts w:ascii="Arial" w:cs="Arial" w:eastAsia="Arial" w:hAnsi="Arial"/>
                <w:sz w:val="18"/>
                <w:szCs w:val="18"/>
              </w:rPr>
              <w:t xml:space="preserve">-359,470</w:t>
            </w:r>
          </w:p>
        </w:tc>
      </w:tr>
      <w:tr>
        <w:tc>
          <w:tcPr>
            <w:tcMar>
              <w:top w:type="dxa" w:w="40"/>
              <w:left w:type="dxa" w:w="80"/>
              <w:bottom w:type="dxa" w:w="40"/>
              <w:right w:type="dxa" w:w="80"/>
            </w:tcMar>
          </w:tcPr>
          <w:p>
            <w:r>
              <w:rPr>
                <w:rFonts w:ascii="Arial" w:cs="Arial" w:eastAsia="Arial" w:hAnsi="Arial"/>
                <w:sz w:val="18"/>
                <w:szCs w:val="18"/>
              </w:rPr>
              <w:t xml:space="preserve">Related-party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276,930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284,640</w:t>
            </w:r>
          </w:p>
        </w:tc>
        <w:tc>
          <w:tcPr>
            <w:tcMar>
              <w:top w:type="dxa" w:w="40"/>
              <w:left w:type="dxa" w:w="80"/>
              <w:bottom w:type="dxa" w:w="40"/>
              <w:right w:type="dxa" w:w="80"/>
            </w:tcMar>
          </w:tcPr>
          <w:p>
            <w:pPr>
              <w:jc w:val="right"/>
            </w:pPr>
            <w:r>
              <w:rPr>
                <w:rFonts w:ascii="Arial" w:cs="Arial" w:eastAsia="Arial" w:hAnsi="Arial"/>
                <w:sz w:val="18"/>
                <w:szCs w:val="18"/>
              </w:rPr>
              <w:t xml:space="preserve">288,009</w:t>
            </w:r>
          </w:p>
        </w:tc>
        <w:tc>
          <w:tcPr>
            <w:tcMar>
              <w:top w:type="dxa" w:w="40"/>
              <w:left w:type="dxa" w:w="80"/>
              <w:bottom w:type="dxa" w:w="40"/>
              <w:right w:type="dxa" w:w="80"/>
            </w:tcMar>
          </w:tcPr>
          <w:p>
            <w:pPr>
              <w:jc w:val="right"/>
            </w:pPr>
            <w:r>
              <w:rPr>
                <w:rFonts w:ascii="Arial" w:cs="Arial" w:eastAsia="Arial" w:hAnsi="Arial"/>
                <w:sz w:val="18"/>
                <w:szCs w:val="18"/>
              </w:rPr>
              <w:t xml:space="preserve">295,706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330,117</w:t>
            </w:r>
          </w:p>
        </w:tc>
        <w:tc>
          <w:tcPr>
            <w:tcMar>
              <w:top w:type="dxa" w:w="40"/>
              <w:left w:type="dxa" w:w="80"/>
              <w:bottom w:type="dxa" w:w="40"/>
              <w:right w:type="dxa" w:w="80"/>
            </w:tcMar>
          </w:tcPr>
          <w:p>
            <w:pPr>
              <w:jc w:val="right"/>
            </w:pPr>
            <w:r>
              <w:rPr>
                <w:rFonts w:ascii="Arial" w:cs="Arial" w:eastAsia="Arial" w:hAnsi="Arial"/>
                <w:sz w:val="18"/>
                <w:szCs w:val="18"/>
              </w:rPr>
              <w:t xml:space="preserve">310,294</w:t>
            </w:r>
          </w:p>
        </w:tc>
        <w:tc>
          <w:tcPr>
            <w:tcMar>
              <w:top w:type="dxa" w:w="40"/>
              <w:left w:type="dxa" w:w="80"/>
              <w:bottom w:type="dxa" w:w="40"/>
              <w:right w:type="dxa" w:w="80"/>
            </w:tcMar>
          </w:tcPr>
          <w:p>
            <w:pPr>
              <w:jc w:val="right"/>
            </w:pPr>
            <w:r>
              <w:rPr>
                <w:rFonts w:ascii="Arial" w:cs="Arial" w:eastAsia="Arial" w:hAnsi="Arial"/>
                <w:sz w:val="18"/>
                <w:szCs w:val="18"/>
              </w:rPr>
              <w:t xml:space="preserve">304,084</w:t>
            </w:r>
          </w:p>
        </w:tc>
      </w:tr>
    </w:tbl>
    <w:p>
      <w:pPr>
        <w:spacing w:after="40"/>
      </w:pPr>
      <w:r>
        <w:rPr>
          <w:rFonts w:ascii="Arial" w:cs="Arial" w:eastAsia="Arial" w:hAnsi="Arial"/>
          <w:sz w:val="20"/>
          <w:szCs w:val="20"/>
        </w:rPr>
        <w:t xml:space="preserve"/>
      </w:r>
    </w:p>
    <w:p>
      <w:pPr>
        <w:spacing w:after="120"/>
      </w:pPr>
      <w:r>
        <w:rPr>
          <w:rFonts w:ascii="Arial" w:cs="Arial" w:eastAsia="Arial" w:hAnsi="Arial"/>
          <w:b/>
          <w:bCs/>
          <w:sz w:val="20"/>
          <w:szCs w:val="20"/>
        </w:rPr>
        <w:t xml:space="preserve">Revenue Breakdown</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Source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2026</w:t>
            </w:r>
          </w:p>
        </w:tc>
      </w:tr>
      <w:tr>
        <w:tc>
          <w:tcPr>
            <w:tcMar>
              <w:top w:type="dxa" w:w="40"/>
              <w:left w:type="dxa" w:w="80"/>
              <w:bottom w:type="dxa" w:w="40"/>
              <w:right w:type="dxa" w:w="80"/>
            </w:tcMar>
          </w:tcPr>
          <w:p>
            <w:r>
              <w:rPr>
                <w:rFonts w:ascii="Arial" w:cs="Arial" w:eastAsia="Arial" w:hAnsi="Arial"/>
                <w:sz w:val="18"/>
                <w:szCs w:val="18"/>
              </w:rPr>
              <w:t xml:space="preserve">Revenue from contract with customers</w:t>
            </w:r>
          </w:p>
        </w:tc>
        <w:tc>
          <w:tcPr>
            <w:tcMar>
              <w:top w:type="dxa" w:w="40"/>
              <w:left w:type="dxa" w:w="80"/>
              <w:bottom w:type="dxa" w:w="40"/>
              <w:right w:type="dxa" w:w="80"/>
            </w:tcMar>
          </w:tcPr>
          <w:p>
            <w:pPr>
              <w:jc w:val="right"/>
            </w:pPr>
            <w:r>
              <w:rPr>
                <w:rFonts w:ascii="Arial" w:cs="Arial" w:eastAsia="Arial" w:hAnsi="Arial"/>
                <w:sz w:val="18"/>
                <w:szCs w:val="18"/>
              </w:rPr>
              <w:t xml:space="preserve">1,008,582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376,340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1,140,855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370,840</w:t>
            </w:r>
          </w:p>
        </w:tc>
        <w:tc>
          <w:tcPr>
            <w:tcMar>
              <w:top w:type="dxa" w:w="40"/>
              <w:left w:type="dxa" w:w="80"/>
              <w:bottom w:type="dxa" w:w="40"/>
              <w:right w:type="dxa" w:w="80"/>
            </w:tcMar>
          </w:tcPr>
          <w:p>
            <w:pPr>
              <w:jc w:val="right"/>
            </w:pPr>
            <w:r>
              <w:rPr>
                <w:rFonts w:ascii="Arial" w:cs="Arial" w:eastAsia="Arial" w:hAnsi="Arial"/>
                <w:sz w:val="18"/>
                <w:szCs w:val="18"/>
              </w:rPr>
              <w:t xml:space="preserve">781,573</w:t>
            </w:r>
          </w:p>
        </w:tc>
        <w:tc>
          <w:tcPr>
            <w:tcMar>
              <w:top w:type="dxa" w:w="40"/>
              <w:left w:type="dxa" w:w="80"/>
              <w:bottom w:type="dxa" w:w="40"/>
              <w:right w:type="dxa" w:w="80"/>
            </w:tcMar>
          </w:tcPr>
          <w:p>
            <w:pPr>
              <w:jc w:val="right"/>
            </w:pPr>
            <w:r>
              <w:rPr>
                <w:rFonts w:ascii="Arial" w:cs="Arial" w:eastAsia="Arial" w:hAnsi="Arial"/>
                <w:sz w:val="18"/>
                <w:szCs w:val="18"/>
              </w:rPr>
              <w:t xml:space="preserve">410,733</w:t>
            </w:r>
          </w:p>
        </w:tc>
        <w:tc>
          <w:tcPr>
            <w:tcMar>
              <w:top w:type="dxa" w:w="40"/>
              <w:left w:type="dxa" w:w="80"/>
              <w:bottom w:type="dxa" w:w="40"/>
              <w:right w:type="dxa" w:w="80"/>
            </w:tcMar>
          </w:tcPr>
          <w:p>
            <w:pPr>
              <w:jc w:val="right"/>
            </w:pPr>
            <w:r>
              <w:rPr>
                <w:rFonts w:ascii="Arial" w:cs="Arial" w:eastAsia="Arial" w:hAnsi="Arial"/>
                <w:sz w:val="18"/>
                <w:szCs w:val="18"/>
              </w:rPr>
              <w:t xml:space="preserve">1,231,196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408,501</w:t>
            </w:r>
          </w:p>
        </w:tc>
        <w:tc>
          <w:tcPr>
            <w:tcMar>
              <w:top w:type="dxa" w:w="40"/>
              <w:left w:type="dxa" w:w="80"/>
              <w:bottom w:type="dxa" w:w="40"/>
              <w:right w:type="dxa" w:w="80"/>
            </w:tcMar>
          </w:tcPr>
          <w:p>
            <w:pPr>
              <w:jc w:val="right"/>
            </w:pPr>
            <w:r>
              <w:rPr>
                <w:rFonts w:ascii="Arial" w:cs="Arial" w:eastAsia="Arial" w:hAnsi="Arial"/>
                <w:sz w:val="18"/>
                <w:szCs w:val="18"/>
              </w:rPr>
              <w:t xml:space="preserve">811,117</w:t>
            </w:r>
          </w:p>
        </w:tc>
      </w:tr>
      <w:tr>
        <w:tc>
          <w:tcPr>
            <w:tcMar>
              <w:top w:type="dxa" w:w="40"/>
              <w:left w:type="dxa" w:w="80"/>
              <w:bottom w:type="dxa" w:w="40"/>
              <w:right w:type="dxa" w:w="80"/>
            </w:tcMar>
          </w:tcPr>
          <w:p>
            <w:r>
              <w:rPr>
                <w:rFonts w:ascii="Arial" w:cs="Arial" w:eastAsia="Arial" w:hAnsi="Arial"/>
                <w:sz w:val="18"/>
                <w:szCs w:val="18"/>
              </w:rPr>
              <w:t xml:space="preserve">Real-estate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28,436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27,679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Real estate revenue</w:t>
            </w:r>
          </w:p>
        </w:tc>
        <w:tc>
          <w:tcPr>
            <w:tcMar>
              <w:top w:type="dxa" w:w="40"/>
              <w:left w:type="dxa" w:w="80"/>
              <w:bottom w:type="dxa" w:w="40"/>
              <w:right w:type="dxa" w:w="80"/>
            </w:tcMar>
          </w:tcPr>
          <w:p>
            <w:pPr>
              <w:jc w:val="right"/>
            </w:pPr>
            <w:r>
              <w:rPr>
                <w:rFonts w:ascii="Arial" w:cs="Arial" w:eastAsia="Arial" w:hAnsi="Arial"/>
                <w:sz w:val="18"/>
                <w:szCs w:val="18"/>
              </w:rPr>
              <w:t xml:space="preserve">85,431</w:t>
            </w:r>
          </w:p>
        </w:tc>
        <w:tc>
          <w:tcPr>
            <w:tcMar>
              <w:top w:type="dxa" w:w="40"/>
              <w:left w:type="dxa" w:w="80"/>
              <w:bottom w:type="dxa" w:w="40"/>
              <w:right w:type="dxa" w:w="80"/>
            </w:tcMar>
          </w:tcPr>
          <w:p>
            <w:pPr>
              <w:jc w:val="right"/>
            </w:pPr>
            <w:r>
              <w:rPr>
                <w:rFonts w:ascii="Arial" w:cs="Arial" w:eastAsia="Arial" w:hAnsi="Arial"/>
                <w:sz w:val="18"/>
                <w:szCs w:val="18"/>
              </w:rPr>
              <w:t xml:space="preserve">116,053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59,948</w:t>
            </w:r>
          </w:p>
        </w:tc>
        <w:tc>
          <w:tcPr>
            <w:tcMar>
              <w:top w:type="dxa" w:w="40"/>
              <w:left w:type="dxa" w:w="80"/>
              <w:bottom w:type="dxa" w:w="40"/>
              <w:right w:type="dxa" w:w="80"/>
            </w:tcMar>
          </w:tcPr>
          <w:p>
            <w:pPr>
              <w:jc w:val="right"/>
            </w:pPr>
            <w:r>
              <w:rPr>
                <w:rFonts w:ascii="Arial" w:cs="Arial" w:eastAsia="Arial" w:hAnsi="Arial"/>
                <w:sz w:val="18"/>
                <w:szCs w:val="18"/>
              </w:rPr>
              <w:t xml:space="preserve">88,959</w:t>
            </w:r>
          </w:p>
        </w:tc>
        <w:tc>
          <w:tcPr>
            <w:tcMar>
              <w:top w:type="dxa" w:w="40"/>
              <w:left w:type="dxa" w:w="80"/>
              <w:bottom w:type="dxa" w:w="40"/>
              <w:right w:type="dxa" w:w="80"/>
            </w:tcMar>
          </w:tcPr>
          <w:p>
            <w:pPr>
              <w:jc w:val="right"/>
            </w:pPr>
            <w:r>
              <w:rPr>
                <w:rFonts w:ascii="Arial" w:cs="Arial" w:eastAsia="Arial" w:hAnsi="Arial"/>
                <w:sz w:val="18"/>
                <w:szCs w:val="18"/>
              </w:rPr>
              <w:t xml:space="preserve">114,866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56,586</w:t>
            </w:r>
          </w:p>
        </w:tc>
        <w:tc>
          <w:tcPr>
            <w:tcMar>
              <w:top w:type="dxa" w:w="40"/>
              <w:left w:type="dxa" w:w="80"/>
              <w:bottom w:type="dxa" w:w="40"/>
              <w:right w:type="dxa" w:w="80"/>
            </w:tcMar>
          </w:tcPr>
          <w:p>
            <w:pPr>
              <w:jc w:val="right"/>
            </w:pPr>
            <w:r>
              <w:rPr>
                <w:rFonts w:ascii="Arial" w:cs="Arial" w:eastAsia="Arial" w:hAnsi="Arial"/>
                <w:sz w:val="18"/>
                <w:szCs w:val="18"/>
              </w:rPr>
              <w:t xml:space="preserve">28,249</w:t>
            </w:r>
          </w:p>
        </w:tc>
        <w:tc>
          <w:tcPr>
            <w:tcMar>
              <w:top w:type="dxa" w:w="40"/>
              <w:left w:type="dxa" w:w="80"/>
              <w:bottom w:type="dxa" w:w="40"/>
              <w:right w:type="dxa" w:w="80"/>
            </w:tcMar>
          </w:tcPr>
          <w:p>
            <w:pPr>
              <w:jc w:val="right"/>
            </w:pPr>
            <w:r>
              <w:rPr>
                <w:rFonts w:ascii="Arial" w:cs="Arial" w:eastAsia="Arial" w:hAnsi="Arial"/>
                <w:sz w:val="18"/>
                <w:szCs w:val="18"/>
              </w:rPr>
              <w:t xml:space="preserve">85,484</w:t>
            </w:r>
          </w:p>
        </w:tc>
        <w:tc>
          <w:tcPr>
            <w:tcMar>
              <w:top w:type="dxa" w:w="40"/>
              <w:left w:type="dxa" w:w="80"/>
              <w:bottom w:type="dxa" w:w="40"/>
              <w:right w:type="dxa" w:w="80"/>
            </w:tcMar>
          </w:tcPr>
          <w:p>
            <w:pPr>
              <w:jc w:val="right"/>
            </w:pPr>
            <w:r>
              <w:rPr>
                <w:rFonts w:ascii="Arial" w:cs="Arial" w:eastAsia="Arial" w:hAnsi="Arial"/>
                <w:sz w:val="18"/>
                <w:szCs w:val="18"/>
              </w:rPr>
              <w:t xml:space="preserve">114,274</w:t>
            </w:r>
          </w:p>
        </w:tc>
        <w:tc>
          <w:tcPr>
            <w:tcMar>
              <w:top w:type="dxa" w:w="40"/>
              <w:left w:type="dxa" w:w="80"/>
              <w:bottom w:type="dxa" w:w="40"/>
              <w:right w:type="dxa" w:w="80"/>
            </w:tcMar>
          </w:tcPr>
          <w:p>
            <w:pPr>
              <w:jc w:val="right"/>
            </w:pPr>
            <w:r>
              <w:rPr>
                <w:rFonts w:ascii="Arial" w:cs="Arial" w:eastAsia="Arial" w:hAnsi="Arial"/>
                <w:sz w:val="18"/>
                <w:szCs w:val="18"/>
              </w:rPr>
              <w:t xml:space="preserve">27,955</w:t>
            </w:r>
          </w:p>
        </w:tc>
        <w:tc>
          <w:tcPr>
            <w:tcMar>
              <w:top w:type="dxa" w:w="40"/>
              <w:left w:type="dxa" w:w="80"/>
              <w:bottom w:type="dxa" w:w="40"/>
              <w:right w:type="dxa" w:w="80"/>
            </w:tcMar>
          </w:tcPr>
          <w:p>
            <w:pPr>
              <w:jc w:val="right"/>
            </w:pPr>
            <w:r>
              <w:rPr>
                <w:rFonts w:ascii="Arial" w:cs="Arial" w:eastAsia="Arial" w:hAnsi="Arial"/>
                <w:sz w:val="18"/>
                <w:szCs w:val="18"/>
              </w:rPr>
              <w:t xml:space="preserve">55,637</w:t>
            </w:r>
          </w:p>
        </w:tc>
      </w:tr>
      <w:tr>
        <w:tc>
          <w:tcPr>
            <w:tcMar>
              <w:top w:type="dxa" w:w="40"/>
              <w:left w:type="dxa" w:w="80"/>
              <w:bottom w:type="dxa" w:w="40"/>
              <w:right w:type="dxa" w:w="80"/>
            </w:tcMar>
          </w:tcPr>
          <w:p>
            <w:r>
              <w:rPr>
                <w:rFonts w:ascii="Arial" w:cs="Arial" w:eastAsia="Arial" w:hAnsi="Arial"/>
                <w:sz w:val="18"/>
                <w:szCs w:val="18"/>
              </w:rPr>
              <w:t xml:space="preserve">Contract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552,528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310,826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607,793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304,617</w:t>
            </w:r>
          </w:p>
        </w:tc>
        <w:tc>
          <w:tcPr>
            <w:tcMar>
              <w:top w:type="dxa" w:w="40"/>
              <w:left w:type="dxa" w:w="80"/>
              <w:bottom w:type="dxa" w:w="40"/>
              <w:right w:type="dxa" w:w="80"/>
            </w:tcMar>
          </w:tcPr>
          <w:p>
            <w:pPr>
              <w:jc w:val="right"/>
            </w:pPr>
            <w:r>
              <w:rPr>
                <w:rFonts w:ascii="Arial" w:cs="Arial" w:eastAsia="Arial" w:hAnsi="Arial"/>
                <w:sz w:val="18"/>
                <w:szCs w:val="18"/>
              </w:rPr>
              <w:t xml:space="preserve">135,401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154,596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Revenue from sale of goods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762,668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422,912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848,694</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420,584</w:t>
            </w:r>
          </w:p>
        </w:tc>
        <w:tc>
          <w:tcPr>
            <w:tcMar>
              <w:top w:type="dxa" w:w="40"/>
              <w:left w:type="dxa" w:w="80"/>
              <w:bottom w:type="dxa" w:w="40"/>
              <w:right w:type="dxa" w:w="80"/>
            </w:tcMar>
          </w:tcPr>
          <w:p>
            <w:pPr>
              <w:jc w:val="right"/>
            </w:pPr>
            <w:r>
              <w:rPr>
                <w:rFonts w:ascii="Arial" w:cs="Arial" w:eastAsia="Arial" w:hAnsi="Arial"/>
                <w:sz w:val="18"/>
                <w:szCs w:val="18"/>
              </w:rPr>
              <w:t xml:space="preserve">207,410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221,615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Service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107,345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58,331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110,343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56,373</w:t>
            </w:r>
          </w:p>
        </w:tc>
        <w:tc>
          <w:tcPr>
            <w:tcMar>
              <w:top w:type="dxa" w:w="40"/>
              <w:left w:type="dxa" w:w="80"/>
              <w:bottom w:type="dxa" w:w="40"/>
              <w:right w:type="dxa" w:w="80"/>
            </w:tcMar>
          </w:tcPr>
          <w:p>
            <w:pPr>
              <w:jc w:val="right"/>
            </w:pPr>
            <w:r>
              <w:rPr>
                <w:rFonts w:ascii="Arial" w:cs="Arial" w:eastAsia="Arial" w:hAnsi="Arial"/>
                <w:sz w:val="18"/>
                <w:szCs w:val="18"/>
              </w:rPr>
              <w:t xml:space="preserve">28,029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26,406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1,422,541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792,069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1,566,830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781,573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1,751,929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State of Qatar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664,266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669,400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United Arab Emirates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71,043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65,073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Other geographic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56,760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47,099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Ratio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Value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Assessment</w:t>
            </w:r>
          </w:p>
        </w:tc>
      </w:tr>
      <w:tr>
        <w:tc>
          <w:tcPr>
            <w:tcMar>
              <w:top w:type="dxa" w:w="40"/>
              <w:left w:type="dxa" w:w="80"/>
              <w:bottom w:type="dxa" w:w="40"/>
              <w:right w:type="dxa" w:w="80"/>
            </w:tcMar>
          </w:tcPr>
          <w:p>
            <w:r>
              <w:rPr>
                <w:rFonts w:ascii="Arial" w:cs="Arial" w:eastAsia="Arial" w:hAnsi="Arial"/>
                <w:sz w:val="18"/>
                <w:szCs w:val="18"/>
              </w:rPr>
              <w:t xml:space="preserve">Debt service coverage (DSCR) (FY2025)</w:t>
            </w:r>
          </w:p>
        </w:tc>
        <w:tc>
          <w:tcPr>
            <w:tcMar>
              <w:top w:type="dxa" w:w="40"/>
              <w:left w:type="dxa" w:w="80"/>
              <w:bottom w:type="dxa" w:w="40"/>
              <w:right w:type="dxa" w:w="80"/>
            </w:tcMar>
          </w:tcPr>
          <w:p>
            <w:pPr>
              <w:jc w:val="right"/>
            </w:pPr>
            <w:r>
              <w:rPr>
                <w:rFonts w:ascii="Arial" w:cs="Arial" w:eastAsia="Arial" w:hAnsi="Arial"/>
                <w:sz w:val="18"/>
                <w:szCs w:val="18"/>
              </w:rPr>
              <w:t xml:space="preserve">0.40x</w:t>
            </w:r>
          </w:p>
        </w:tc>
        <w:tc>
          <w:tcPr>
            <w:tcMar>
              <w:top w:type="dxa" w:w="40"/>
              <w:left w:type="dxa" w:w="80"/>
              <w:bottom w:type="dxa" w:w="40"/>
              <w:right w:type="dxa" w:w="80"/>
            </w:tcMar>
          </w:tcPr>
          <w:p>
            <w:r>
              <w:rPr>
                <w:rFonts w:ascii="Arial" w:cs="Arial" w:eastAsia="Arial" w:hAnsi="Arial"/>
                <w:sz w:val="18"/>
                <w:szCs w:val="18"/>
              </w:rPr>
              <w:t xml:space="preserve">WEAK</w:t>
            </w:r>
          </w:p>
        </w:tc>
      </w:tr>
      <w:tr>
        <w:tc>
          <w:tcPr>
            <w:tcMar>
              <w:top w:type="dxa" w:w="40"/>
              <w:left w:type="dxa" w:w="80"/>
              <w:bottom w:type="dxa" w:w="40"/>
              <w:right w:type="dxa" w:w="80"/>
            </w:tcMar>
          </w:tcPr>
          <w:p>
            <w:r>
              <w:rPr>
                <w:rFonts w:ascii="Arial" w:cs="Arial" w:eastAsia="Arial" w:hAnsi="Arial"/>
                <w:sz w:val="18"/>
                <w:szCs w:val="18"/>
              </w:rPr>
              <w:t xml:space="preserve">Interest coverage (EBITDA / interest) (FY2025)</w:t>
            </w:r>
          </w:p>
        </w:tc>
        <w:tc>
          <w:tcPr>
            <w:tcMar>
              <w:top w:type="dxa" w:w="40"/>
              <w:left w:type="dxa" w:w="80"/>
              <w:bottom w:type="dxa" w:w="40"/>
              <w:right w:type="dxa" w:w="80"/>
            </w:tcMar>
          </w:tcPr>
          <w:p>
            <w:pPr>
              <w:jc w:val="right"/>
            </w:pPr>
            <w:r>
              <w:rPr>
                <w:rFonts w:ascii="Arial" w:cs="Arial" w:eastAsia="Arial" w:hAnsi="Arial"/>
                <w:sz w:val="18"/>
                <w:szCs w:val="18"/>
              </w:rPr>
              <w:t xml:space="preserve">2.37x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Leverage (total liabilities / tangible net worth) (FY2025)</w:t>
            </w:r>
          </w:p>
        </w:tc>
        <w:tc>
          <w:tcPr>
            <w:tcMar>
              <w:top w:type="dxa" w:w="40"/>
              <w:left w:type="dxa" w:w="80"/>
              <w:bottom w:type="dxa" w:w="40"/>
              <w:right w:type="dxa" w:w="80"/>
            </w:tcMar>
          </w:tcPr>
          <w:p>
            <w:pPr>
              <w:jc w:val="right"/>
            </w:pPr>
            <w:r>
              <w:rPr>
                <w:rFonts w:ascii="Arial" w:cs="Arial" w:eastAsia="Arial" w:hAnsi="Arial"/>
                <w:sz w:val="18"/>
                <w:szCs w:val="18"/>
              </w:rPr>
              <w:t xml:space="preserve">1.70x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Current ratio (FY2025)</w:t>
            </w:r>
          </w:p>
        </w:tc>
        <w:tc>
          <w:tcPr>
            <w:tcMar>
              <w:top w:type="dxa" w:w="40"/>
              <w:left w:type="dxa" w:w="80"/>
              <w:bottom w:type="dxa" w:w="40"/>
              <w:right w:type="dxa" w:w="80"/>
            </w:tcMar>
          </w:tcPr>
          <w:p>
            <w:pPr>
              <w:jc w:val="right"/>
            </w:pPr>
            <w:r>
              <w:rPr>
                <w:rFonts w:ascii="Arial" w:cs="Arial" w:eastAsia="Arial" w:hAnsi="Arial"/>
                <w:sz w:val="18"/>
                <w:szCs w:val="18"/>
              </w:rPr>
              <w:t xml:space="preserve">1.60x</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Revenue trend (latest year) (FY2025)</w:t>
            </w:r>
          </w:p>
        </w:tc>
        <w:tc>
          <w:tcPr>
            <w:tcMar>
              <w:top w:type="dxa" w:w="40"/>
              <w:left w:type="dxa" w:w="80"/>
              <w:bottom w:type="dxa" w:w="40"/>
              <w:right w:type="dxa" w:w="80"/>
            </w:tcMar>
          </w:tcPr>
          <w:p>
            <w:pPr>
              <w:jc w:val="right"/>
            </w:pPr>
            <w:r>
              <w:rPr>
                <w:rFonts w:ascii="Arial" w:cs="Arial" w:eastAsia="Arial" w:hAnsi="Arial"/>
                <w:sz w:val="18"/>
                <w:szCs w:val="18"/>
              </w:rPr>
              <w:t xml:space="preserve">10.8%</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Profitability (net margin) (FY2025)</w:t>
            </w:r>
          </w:p>
        </w:tc>
        <w:tc>
          <w:tcPr>
            <w:tcMar>
              <w:top w:type="dxa" w:w="40"/>
              <w:left w:type="dxa" w:w="80"/>
              <w:bottom w:type="dxa" w:w="40"/>
              <w:right w:type="dxa" w:w="80"/>
            </w:tcMar>
          </w:tcPr>
          <w:p>
            <w:pPr>
              <w:jc w:val="right"/>
            </w:pPr>
            <w:r>
              <w:rPr>
                <w:rFonts w:ascii="Arial" w:cs="Arial" w:eastAsia="Arial" w:hAnsi="Arial"/>
                <w:sz w:val="18"/>
                <w:szCs w:val="18"/>
              </w:rPr>
              <w:t xml:space="preserve">5.5%</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LTV on pledged securities / fund units (term sheet)</w:t>
            </w:r>
          </w:p>
        </w:tc>
        <w:tc>
          <w:tcPr>
            <w:tcMar>
              <w:top w:type="dxa" w:w="40"/>
              <w:left w:type="dxa" w:w="80"/>
              <w:bottom w:type="dxa" w:w="40"/>
              <w:right w:type="dxa" w:w="80"/>
            </w:tcMar>
          </w:tcPr>
          <w:p>
            <w:pPr>
              <w:jc w:val="right"/>
            </w:pPr>
            <w:r>
              <w:rPr>
                <w:rFonts w:ascii="Arial" w:cs="Arial" w:eastAsia="Arial" w:hAnsi="Arial"/>
                <w:sz w:val="18"/>
                <w:szCs w:val="18"/>
              </w:rPr>
              <w:t xml:space="preserve">70%</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Security coverage (collateral / exposure) (term sheet)</w:t>
            </w:r>
          </w:p>
        </w:tc>
        <w:tc>
          <w:tcPr>
            <w:tcMar>
              <w:top w:type="dxa" w:w="40"/>
              <w:left w:type="dxa" w:w="80"/>
              <w:bottom w:type="dxa" w:w="40"/>
              <w:right w:type="dxa" w:w="80"/>
            </w:tcMar>
          </w:tcPr>
          <w:p>
            <w:pPr>
              <w:jc w:val="right"/>
            </w:pPr>
            <w:r>
              <w:rPr>
                <w:rFonts w:ascii="Arial" w:cs="Arial" w:eastAsia="Arial" w:hAnsi="Arial"/>
                <w:sz w:val="18"/>
                <w:szCs w:val="18"/>
              </w:rPr>
              <w:t xml:space="preserve">143%</w:t>
            </w:r>
          </w:p>
        </w:tc>
        <w:tc>
          <w:tcPr>
            <w:tcMar>
              <w:top w:type="dxa" w:w="40"/>
              <w:left w:type="dxa" w:w="80"/>
              <w:bottom w:type="dxa" w:w="40"/>
              <w:right w:type="dxa" w:w="80"/>
            </w:tcMar>
          </w:tcPr>
          <w:p>
            <w:r>
              <w:rPr>
                <w:rFonts w:ascii="Arial" w:cs="Arial" w:eastAsia="Arial" w:hAnsi="Arial"/>
                <w:sz w:val="18"/>
                <w:szCs w:val="18"/>
              </w:rPr>
              <w:t xml:space="preserve">WEAK</w:t>
            </w:r>
          </w:p>
        </w:tc>
      </w:tr>
    </w:tbl>
    <w:p>
      <w:pPr>
        <w:spacing w:after="80"/>
      </w:pPr>
      <w:r>
        <w:rPr>
          <w:rFonts w:ascii="Arial" w:cs="Arial" w:eastAsia="Arial" w:hAnsi="Arial"/>
          <w:sz w:val="20"/>
          <w:szCs w:val="20"/>
        </w:rPr>
        <w:t xml:space="preserve"/>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FY2025 revenue increased 10.8% to QAR 1,866,204K from QAR 1,683,946K in FY2024, while net profit increased to QAR 102,343K from QAR 54,913K (Source: SIIL FS March English 2025.pdf, p.4). The reported FY2025 net margin was 5.5% (Source: application form).</w:t>
      </w:r>
    </w:p>
    <w:p>
      <w:pPr>
        <w:pStyle w:val="ListParagraph"/>
        <w:numPr>
          <w:ilvl w:val="0"/>
          <w:numId w:val="1"/>
        </w:numPr>
        <w:spacing w:after="60"/>
      </w:pPr>
      <w:r>
        <w:rPr>
          <w:rFonts w:ascii="Arial" w:cs="Arial" w:eastAsia="Arial" w:hAnsi="Arial"/>
          <w:sz w:val="20"/>
          <w:szCs w:val="20"/>
        </w:rPr>
        <w:t xml:space="preserve">Gross profit increased to QAR 502,853K from QAR 467,943K, although the gross margin declined to approximately 26.9% from 27.8%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p.4).</w:t>
      </w:r>
    </w:p>
    <w:p>
      <w:pPr>
        <w:pStyle w:val="ListParagraph"/>
        <w:numPr>
          <w:ilvl w:val="0"/>
          <w:numId w:val="1"/>
        </w:numPr>
        <w:spacing w:after="60"/>
      </w:pPr>
      <w:r>
        <w:rPr>
          <w:rFonts w:ascii="Arial" w:cs="Arial" w:eastAsia="Arial" w:hAnsi="Arial"/>
          <w:sz w:val="20"/>
          <w:szCs w:val="20"/>
        </w:rPr>
        <w:t xml:space="preserve">At FY2025, total assets were QAR 4,689,477K, including current assets of QAR 1,547,938K, cash and bank balances of QAR 265,465K, receivables of QAR 382,958K, inventory of QAR 285,654K and investments of QAR 106,286K (Source: SIIL FS Q1-2026 English.pdf, p.3).</w:t>
      </w:r>
    </w:p>
    <w:p>
      <w:pPr>
        <w:pStyle w:val="ListParagraph"/>
        <w:numPr>
          <w:ilvl w:val="0"/>
          <w:numId w:val="1"/>
        </w:numPr>
        <w:spacing w:after="60"/>
      </w:pPr>
      <w:r>
        <w:rPr>
          <w:rFonts w:ascii="Arial" w:cs="Arial" w:eastAsia="Arial" w:hAnsi="Arial"/>
          <w:sz w:val="20"/>
          <w:szCs w:val="20"/>
        </w:rPr>
        <w:t xml:space="preserve">Total liabilities were QAR 2,913,442K and total debt QAR 2,333,695K, against net worth of QAR 1,776,035K and tangible net worth of QAR 1,712,032K (Source: SIIL FS Q1-2026 English.pdf, pp.3–4). The application records leverage of 1.70x as acceptable (Source: application form).</w:t>
      </w:r>
    </w:p>
    <w:p>
      <w:pPr>
        <w:pStyle w:val="ListParagraph"/>
        <w:numPr>
          <w:ilvl w:val="0"/>
          <w:numId w:val="1"/>
        </w:numPr>
        <w:spacing w:after="60"/>
      </w:pPr>
      <w:r>
        <w:rPr>
          <w:rFonts w:ascii="Arial" w:cs="Arial" w:eastAsia="Arial" w:hAnsi="Arial"/>
          <w:sz w:val="20"/>
          <w:szCs w:val="20"/>
        </w:rPr>
        <w:t xml:space="preserve">FY2025 operating cash flow was QAR 194,653K against reported debt service of approximately QAR 676,999K, resulting in a weak recorded DSCR of 0.40x (Source: SIIL Group FS -EN 30 June 2025.pdf, p.12; Source: application form).</w:t>
      </w:r>
    </w:p>
    <w:p>
      <w:pPr>
        <w:pStyle w:val="ListParagraph"/>
        <w:numPr>
          <w:ilvl w:val="0"/>
          <w:numId w:val="1"/>
        </w:numPr>
        <w:spacing w:after="60"/>
      </w:pPr>
      <w:r>
        <w:rPr>
          <w:rFonts w:ascii="Arial" w:cs="Arial" w:eastAsia="Arial" w:hAnsi="Arial"/>
          <w:sz w:val="20"/>
          <w:szCs w:val="20"/>
        </w:rPr>
        <w:t xml:space="preserve">Related-party balances remain material: net due from related parties was QAR 312,733K at FY2025 after an allowance of QAR 80,033K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p.60).</w:t>
      </w:r>
    </w:p>
    <w:p>
      <w:pPr>
        <w:pStyle w:val="Heading1"/>
        <w:spacing w:after="120" w:before="240"/>
      </w:pPr>
      <w:r>
        <w:rPr>
          <w:rFonts w:ascii="Arial" w:cs="Arial" w:eastAsia="Arial" w:hAnsi="Arial"/>
          <w:b/>
          <w:bCs/>
          <w:color w:val="1F3864"/>
          <w:sz w:val="26"/>
          <w:szCs w:val="26"/>
        </w:rPr>
        <w:t xml:space="preserve">VI. Account Conduct &amp; Profitability</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bank statements have been uploaded; therefore, account conduct, turnover, payment performance, returned items, utilisation patterns and cash-flow behaviour cannot be independently assessed. [Analyst to confirm: banking relationship, account history, average balances, credits and debits, overdraft usage, returned payments and any adverse conduct.]</w:t>
      </w:r>
    </w:p>
    <w:p>
      <w:pPr>
        <w:spacing w:after="120"/>
        <w:jc w:val="both"/>
      </w:pPr>
      <w:r>
        <w:rPr>
          <w:rFonts w:ascii="Arial" w:cs="Arial" w:eastAsia="Arial" w:hAnsi="Arial"/>
          <w:sz w:val="20"/>
          <w:szCs w:val="20"/>
        </w:rPr>
        <w:t xml:space="preserve">The request is for a new account to be opened, and the stated purpose is to construct a new facility for Consumers. (Source: application form) Consequently, there is no established Ahlibank account conduct available for review. Profitability analysis is based on the submitted financial statements rather than bank-account evidence. FY2025 revenue was QAR 1,866,204 (000s) and net profit was QAR 102,343 (000s). (Source: SIIL FS March English 2025.pdf, p.4) The application records a FY2025 net margin of 5.5% as GOOD, revenue growth of 10.8% as GOOD and interest coverage of 2.37x as ACCEPTABLE. (Source: application form)</w:t>
      </w:r>
    </w:p>
    <w:p>
      <w:pPr>
        <w:spacing w:after="120"/>
        <w:jc w:val="both"/>
      </w:pPr>
      <w:r>
        <w:rPr>
          <w:rFonts w:ascii="Arial" w:cs="Arial" w:eastAsia="Arial" w:hAnsi="Arial"/>
          <w:sz w:val="20"/>
          <w:szCs w:val="20"/>
        </w:rPr>
        <w:t xml:space="preserve">The application also records FY2025 DSCR of 0.40x as WEAK, indicating that repayment capacity requires particular reliance on verified liquidity, asset realisation or other documented sources rather than demonstrated account cash flow. (Source: application form)</w:t>
      </w:r>
    </w:p>
    <w:p>
      <w:pPr>
        <w:pStyle w:val="Heading1"/>
        <w:spacing w:after="120" w:before="240"/>
      </w:pPr>
      <w:r>
        <w:rPr>
          <w:rFonts w:ascii="Arial" w:cs="Arial" w:eastAsia="Arial" w:hAnsi="Arial"/>
          <w:b/>
          <w:bCs/>
          <w:color w:val="1F3864"/>
          <w:sz w:val="26"/>
          <w:szCs w:val="26"/>
        </w:rPr>
        <w:t xml:space="preserve">VII. QCB and Credit Bureau Reports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QCB or Credit Bureau report has been uploaded. Accordingly, no findings can be reported on existing borrowings, payment history, returned cheques, legal actions, guarantees, connected exposures, classification status or other bureau indicators. (Source: application form)</w:t>
      </w:r>
    </w:p>
    <w:p>
      <w:pPr>
        <w:spacing w:after="120"/>
        <w:jc w:val="both"/>
      </w:pPr>
      <w:r>
        <w:rPr>
          <w:rFonts w:ascii="Arial" w:cs="Arial" w:eastAsia="Arial" w:hAnsi="Arial"/>
          <w:sz w:val="20"/>
          <w:szCs w:val="20"/>
        </w:rPr>
        <w:t xml:space="preserve">[Analyst to confirm: obtain and review the latest QCB report and Credit Bureau report for the borrower, all obligors, guarantors and relevant related parties, and confirm that the reports are satisfactory and consistent with the application.]</w:t>
      </w:r>
    </w:p>
    <w:p>
      <w:pPr>
        <w:spacing w:after="120"/>
        <w:jc w:val="both"/>
      </w:pPr>
      <w:r>
        <w:rPr>
          <w:rFonts w:ascii="Arial" w:cs="Arial" w:eastAsia="Arial" w:hAnsi="Arial"/>
          <w:sz w:val="20"/>
          <w:szCs w:val="20"/>
        </w:rPr>
        <w:t xml:space="preserve">The absence of bureau information is material because the submitted financial statements show substantial indebtedness. Total debt was QAR 2,269,365 (000s) at FY2025, while current liabilities were QAR 965,765 (000s). (Source: SIIL FS Q1-2026 English.pdf, p.4) The FY2025 audited statements also identify debt service of approximately QAR 676,999 (000s against operating cash flow of QAR 194,653 (000s). (Source: SIIL Group FS -EN 30 June 2025.pdf, p.12) These figures should be reconciled to the bureau results and lender confirmations before the committee considers the request.</w:t>
      </w:r>
    </w:p>
    <w:p>
      <w:pPr>
        <w:pStyle w:val="Heading1"/>
        <w:spacing w:after="120" w:before="240"/>
      </w:pPr>
      <w:r>
        <w:rPr>
          <w:rFonts w:ascii="Arial" w:cs="Arial" w:eastAsia="Arial" w:hAnsi="Arial"/>
          <w:b/>
          <w:bCs/>
          <w:color w:val="1F3864"/>
          <w:sz w:val="26"/>
          <w:szCs w:val="26"/>
        </w:rPr>
        <w:t xml:space="preserve">VIII. Sources of Repayment</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b/>
          <w:bCs/>
          <w:sz w:val="20"/>
          <w:szCs w:val="20"/>
        </w:rPr>
        <w:t xml:space="preserve">Primary source:</w:t>
      </w:r>
      <w:r>
        <w:rPr>
          <w:rFonts w:ascii="Arial" w:cs="Arial" w:eastAsia="Arial" w:hAnsi="Arial"/>
          <w:sz w:val="20"/>
          <w:szCs w:val="20"/>
        </w:rPr>
        <w:t xml:space="preserve"> [Analyst to confirm: the borrower’s documented repayment source, including recurring income or cash flows attributable to the proposed consumer-related facility.] No verified bank-statement evidence or borrower-specific repayment schedule has been provided. The application records FY2025 DSCR of 0.40x as WEAK. (Source: application form)</w:t>
      </w:r>
    </w:p>
    <w:p>
      <w:pPr>
        <w:pStyle w:val="ListParagraph"/>
        <w:numPr>
          <w:ilvl w:val="0"/>
          <w:numId w:val="1"/>
        </w:numPr>
        <w:spacing w:after="60"/>
      </w:pPr>
      <w:r>
        <w:rPr>
          <w:rFonts w:ascii="Arial" w:cs="Arial" w:eastAsia="Arial" w:hAnsi="Arial"/>
          <w:b/>
          <w:bCs/>
          <w:sz w:val="20"/>
          <w:szCs w:val="20"/>
        </w:rPr>
        <w:t xml:space="preserve">Secondary source:</w:t>
      </w:r>
      <w:r>
        <w:rPr>
          <w:rFonts w:ascii="Arial" w:cs="Arial" w:eastAsia="Arial" w:hAnsi="Arial"/>
          <w:sz w:val="20"/>
          <w:szCs w:val="20"/>
        </w:rPr>
        <w:t xml:space="preserve"> Orderly liquidation of the proposed pledged securities or fund units, subject to receipt of enforceable collateral documentation, independent valuation, confirmation of ownership and liquidity, and compliance with the stated 70% LTV cap, 75% top-up trigger and 85% liquidation trigger. (Source: application form)</w:t>
      </w:r>
    </w:p>
    <w:p>
      <w:pPr>
        <w:pStyle w:val="ListParagraph"/>
        <w:numPr>
          <w:ilvl w:val="0"/>
          <w:numId w:val="1"/>
        </w:numPr>
        <w:spacing w:after="60"/>
      </w:pPr>
      <w:r>
        <w:rPr>
          <w:rFonts w:ascii="Arial" w:cs="Arial" w:eastAsia="Arial" w:hAnsi="Arial"/>
          <w:sz w:val="20"/>
          <w:szCs w:val="20"/>
        </w:rPr>
        <w:t xml:space="preserve">The application records security coverage of 143% as WEAK, notwithstanding the stated LTV cap. (Source: application form) No collateral documentation has been uploaded. (Source: application form)</w:t>
      </w:r>
    </w:p>
    <w:p>
      <w:pPr>
        <w:pStyle w:val="ListParagraph"/>
        <w:numPr>
          <w:ilvl w:val="0"/>
          <w:numId w:val="1"/>
        </w:numPr>
        <w:spacing w:after="60"/>
      </w:pPr>
      <w:r>
        <w:rPr>
          <w:rFonts w:ascii="Arial" w:cs="Arial" w:eastAsia="Arial" w:hAnsi="Arial"/>
          <w:b/>
          <w:bCs/>
          <w:sz w:val="20"/>
          <w:szCs w:val="20"/>
        </w:rPr>
        <w:t xml:space="preserve">Pari passu:</w:t>
      </w:r>
      <w:r>
        <w:rPr>
          <w:rFonts w:ascii="Arial" w:cs="Arial" w:eastAsia="Arial" w:hAnsi="Arial"/>
          <w:sz w:val="20"/>
          <w:szCs w:val="20"/>
        </w:rPr>
        <w:t xml:space="preserve"> [Analyst to confirm: whether the proposed facility will rank pari passu with existing secured or unsecured obligations, and whether any prior-ranking security, negative pledge, intercreditor or subordination arrangements apply.]</w:t>
      </w:r>
    </w:p>
    <w:p>
      <w:pPr>
        <w:pStyle w:val="Heading1"/>
        <w:spacing w:after="120" w:before="240"/>
      </w:pPr>
      <w:r>
        <w:rPr>
          <w:rFonts w:ascii="Arial" w:cs="Arial" w:eastAsia="Arial" w:hAnsi="Arial"/>
          <w:b/>
          <w:bCs/>
          <w:color w:val="1F3864"/>
          <w:sz w:val="26"/>
          <w:szCs w:val="26"/>
        </w:rPr>
        <w:t xml:space="preserve">IX. Risk Rating</w:t>
      </w:r>
    </w:p>
    <w:p>
      <w:pPr>
        <w:spacing w:after="120"/>
      </w:pPr>
      <w:r>
        <w:rPr>
          <w:rFonts w:ascii="Arial" w:cs="Arial" w:eastAsia="Arial" w:hAnsi="Arial"/>
          <w:b/>
          <w:bCs/>
          <w:sz w:val="20"/>
          <w:szCs w:val="20"/>
        </w:rPr>
        <w:t xml:space="preserve">Proposed rating: R06</w:t>
      </w:r>
    </w:p>
    <w:p>
      <w:pPr>
        <w:spacing w:after="120"/>
        <w:jc w:val="both"/>
      </w:pPr>
      <w:r>
        <w:rPr>
          <w:rFonts w:ascii="Arial" w:cs="Arial" w:eastAsia="Arial" w:hAnsi="Arial"/>
          <w:sz w:val="20"/>
          <w:szCs w:val="20"/>
        </w:rPr>
        <w:t xml:space="preserve">becasue i like salam</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proposed risk rating is not populated in the application. [Analyst to confirm: proposed internal risk rating and applicable rating methodology.] (Source: application form)</w:t>
      </w:r>
    </w:p>
    <w:p>
      <w:pPr>
        <w:pStyle w:val="ListParagraph"/>
        <w:numPr>
          <w:ilvl w:val="0"/>
          <w:numId w:val="1"/>
        </w:numPr>
        <w:spacing w:after="60"/>
      </w:pPr>
      <w:r>
        <w:rPr>
          <w:rFonts w:ascii="Arial" w:cs="Arial" w:eastAsia="Arial" w:hAnsi="Arial"/>
          <w:sz w:val="20"/>
          <w:szCs w:val="20"/>
        </w:rPr>
        <w:t xml:space="preserve">The borrower demonstrates scale and positive earnings, with FY2025 revenue of QAR 1,866,204 (000s) and net profit of QAR 102,343 (000s). (Source: SIIL FS March English 2025.pdf, p.4)</w:t>
      </w:r>
    </w:p>
    <w:p>
      <w:pPr>
        <w:pStyle w:val="ListParagraph"/>
        <w:numPr>
          <w:ilvl w:val="0"/>
          <w:numId w:val="1"/>
        </w:numPr>
        <w:spacing w:after="60"/>
      </w:pPr>
      <w:r>
        <w:rPr>
          <w:rFonts w:ascii="Arial" w:cs="Arial" w:eastAsia="Arial" w:hAnsi="Arial"/>
          <w:sz w:val="20"/>
          <w:szCs w:val="20"/>
        </w:rPr>
        <w:t xml:space="preserve">Revenue growth of 10.8%, profitability of 5.5% net margin and interest coverage of 2.37x are recorded as GOOD, GOOD and ACCEPTABLE, respectively. (Source: application form)</w:t>
      </w:r>
    </w:p>
    <w:p>
      <w:pPr>
        <w:pStyle w:val="ListParagraph"/>
        <w:numPr>
          <w:ilvl w:val="0"/>
          <w:numId w:val="1"/>
        </w:numPr>
        <w:spacing w:after="60"/>
      </w:pPr>
      <w:r>
        <w:rPr>
          <w:rFonts w:ascii="Arial" w:cs="Arial" w:eastAsia="Arial" w:hAnsi="Arial"/>
          <w:sz w:val="20"/>
          <w:szCs w:val="20"/>
        </w:rPr>
        <w:t xml:space="preserve">Credit strengths are offset by weak debt service capacity: FY2025 DSCR is recorded at 0.40x, while FY2025 operating cash flow was QAR 194,653 (000s) against reported debt service of approximately QAR 676,999 (000s). (Source: application form; Source: SIIL Group FS -EN 30 June 2025.pdf, p.12)</w:t>
      </w:r>
    </w:p>
    <w:p>
      <w:pPr>
        <w:pStyle w:val="ListParagraph"/>
        <w:numPr>
          <w:ilvl w:val="0"/>
          <w:numId w:val="1"/>
        </w:numPr>
        <w:spacing w:after="60"/>
      </w:pPr>
      <w:r>
        <w:rPr>
          <w:rFonts w:ascii="Arial" w:cs="Arial" w:eastAsia="Arial" w:hAnsi="Arial"/>
          <w:sz w:val="20"/>
          <w:szCs w:val="20"/>
        </w:rPr>
        <w:t xml:space="preserve">Total debt of QAR 2,269,365 (000s) and material related-party receivables increase leverage and recoverability risk. (Source: SIIL FS Q1-2026 English.pdf, p.4;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p.60)</w:t>
      </w:r>
    </w:p>
    <w:p>
      <w:pPr>
        <w:pStyle w:val="ListParagraph"/>
        <w:numPr>
          <w:ilvl w:val="0"/>
          <w:numId w:val="1"/>
        </w:numPr>
        <w:spacing w:after="60"/>
      </w:pPr>
      <w:r>
        <w:rPr>
          <w:rFonts w:ascii="Arial" w:cs="Arial" w:eastAsia="Arial" w:hAnsi="Arial"/>
          <w:sz w:val="20"/>
          <w:szCs w:val="20"/>
        </w:rPr>
        <w:t xml:space="preserve">The rating assessment remains subject to satisfactory QCB/Credit Bureau reports, collateral verification, repayment-source confirmation and identification of any guarantor.</w:t>
      </w:r>
    </w:p>
    <w:p>
      <w:pPr>
        <w:pStyle w:val="Heading1"/>
        <w:spacing w:after="120" w:before="240"/>
      </w:pPr>
      <w:r>
        <w:rPr>
          <w:rFonts w:ascii="Arial" w:cs="Arial" w:eastAsia="Arial" w:hAnsi="Arial"/>
          <w:b/>
          <w:bCs/>
          <w:color w:val="1F3864"/>
          <w:sz w:val="26"/>
          <w:szCs w:val="26"/>
        </w:rPr>
        <w:t xml:space="preserve">X. Risks &amp; Mitigants</w:t>
      </w:r>
    </w:p>
    <w:p>
      <w:pPr>
        <w:spacing w:after="120"/>
      </w:pPr>
      <w:r>
        <w:rPr>
          <w:rFonts w:ascii="Arial" w:cs="Arial" w:eastAsia="Arial" w:hAnsi="Arial"/>
          <w:i/>
          <w:iCs/>
          <w:color w:val="C00000"/>
          <w:sz w:val="16"/>
          <w:szCs w:val="16"/>
        </w:rPr>
        <w:t xml:space="preserve">[AI-generated draft — pending analyst 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Risk</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Description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Mitigant</w:t>
            </w:r>
          </w:p>
        </w:tc>
      </w:tr>
      <w:tr>
        <w:tc>
          <w:tcPr>
            <w:tcMar>
              <w:top w:type="dxa" w:w="40"/>
              <w:left w:type="dxa" w:w="80"/>
              <w:bottom w:type="dxa" w:w="40"/>
              <w:right w:type="dxa" w:w="80"/>
            </w:tcMar>
          </w:tcPr>
          <w:p>
            <w:r>
              <w:rPr>
                <w:rFonts w:ascii="Arial" w:cs="Arial" w:eastAsia="Arial" w:hAnsi="Arial"/>
                <w:sz w:val="18"/>
                <w:szCs w:val="18"/>
              </w:rPr>
              <w:t xml:space="preserve">Lower fund returns</w:t>
            </w:r>
          </w:p>
        </w:tc>
        <w:tc>
          <w:tcPr>
            <w:tcMar>
              <w:top w:type="dxa" w:w="40"/>
              <w:left w:type="dxa" w:w="80"/>
              <w:bottom w:type="dxa" w:w="40"/>
              <w:right w:type="dxa" w:w="80"/>
            </w:tcMar>
          </w:tcPr>
          <w:p>
            <w:r>
              <w:rPr>
                <w:rFonts w:ascii="Arial" w:cs="Arial" w:eastAsia="Arial" w:hAnsi="Arial"/>
                <w:sz w:val="18"/>
                <w:szCs w:val="18"/>
              </w:rPr>
              <w:t xml:space="preserve">Repayment appears dependent, at least in part, on pledged securities or fund units, but no investment performance history or return assumptions have been provided. [Analyst to confirm: asset composition, historical returns, liquidity and concentration.]</w:t>
            </w:r>
          </w:p>
        </w:tc>
        <w:tc>
          <w:tcPr>
            <w:tcMar>
              <w:top w:type="dxa" w:w="40"/>
              <w:left w:type="dxa" w:w="80"/>
              <w:bottom w:type="dxa" w:w="40"/>
              <w:right w:type="dxa" w:w="80"/>
            </w:tcMar>
          </w:tcPr>
          <w:p>
            <w:r>
              <w:rPr>
                <w:rFonts w:ascii="Arial" w:cs="Arial" w:eastAsia="Arial" w:hAnsi="Arial"/>
                <w:sz w:val="18"/>
                <w:szCs w:val="18"/>
              </w:rPr>
              <w:t xml:space="preserve">Apply the stated 70% LTV cap, require monitoring of market value, and enforce the 75% top-up and 85% liquidation triggers, subject to documented and enforceable terms. (Source: application form)</w:t>
            </w:r>
          </w:p>
        </w:tc>
      </w:tr>
      <w:tr>
        <w:tc>
          <w:tcPr>
            <w:tcMar>
              <w:top w:type="dxa" w:w="40"/>
              <w:left w:type="dxa" w:w="80"/>
              <w:bottom w:type="dxa" w:w="40"/>
              <w:right w:type="dxa" w:w="80"/>
            </w:tcMar>
          </w:tcPr>
          <w:p>
            <w:r>
              <w:rPr>
                <w:rFonts w:ascii="Arial" w:cs="Arial" w:eastAsia="Arial" w:hAnsi="Arial"/>
                <w:sz w:val="18"/>
                <w:szCs w:val="18"/>
              </w:rPr>
              <w:t xml:space="preserve">Security risk</w:t>
            </w:r>
          </w:p>
        </w:tc>
        <w:tc>
          <w:tcPr>
            <w:tcMar>
              <w:top w:type="dxa" w:w="40"/>
              <w:left w:type="dxa" w:w="80"/>
              <w:bottom w:type="dxa" w:w="40"/>
              <w:right w:type="dxa" w:w="80"/>
            </w:tcMar>
          </w:tcPr>
          <w:p>
            <w:r>
              <w:rPr>
                <w:rFonts w:ascii="Arial" w:cs="Arial" w:eastAsia="Arial" w:hAnsi="Arial"/>
                <w:sz w:val="18"/>
                <w:szCs w:val="18"/>
              </w:rPr>
              <w:t xml:space="preserve">No collateral documentation has been uploaded. The stated security coverage of 143% is recorded as WEAK. (Source: application form)</w:t>
            </w:r>
          </w:p>
        </w:tc>
        <w:tc>
          <w:tcPr>
            <w:tcMar>
              <w:top w:type="dxa" w:w="40"/>
              <w:left w:type="dxa" w:w="80"/>
              <w:bottom w:type="dxa" w:w="40"/>
              <w:right w:type="dxa" w:w="80"/>
            </w:tcMar>
          </w:tcPr>
          <w:p>
            <w:r>
              <w:rPr>
                <w:rFonts w:ascii="Arial" w:cs="Arial" w:eastAsia="Arial" w:hAnsi="Arial"/>
                <w:sz w:val="18"/>
                <w:szCs w:val="18"/>
              </w:rPr>
              <w:t xml:space="preserve">Obtain perfected pledge, evidence of ownership, independent valuation, custody/control arrangements, margining mechanics, insurance where relevant and legal enforceability confirmation before utilisation.</w:t>
            </w:r>
          </w:p>
        </w:tc>
      </w:tr>
      <w:tr>
        <w:tc>
          <w:tcPr>
            <w:tcMar>
              <w:top w:type="dxa" w:w="40"/>
              <w:left w:type="dxa" w:w="80"/>
              <w:bottom w:type="dxa" w:w="40"/>
              <w:right w:type="dxa" w:w="80"/>
            </w:tcMar>
          </w:tcPr>
          <w:p>
            <w:r>
              <w:rPr>
                <w:rFonts w:ascii="Arial" w:cs="Arial" w:eastAsia="Arial" w:hAnsi="Arial"/>
                <w:sz w:val="18"/>
                <w:szCs w:val="18"/>
              </w:rPr>
              <w:t xml:space="preserve">Interest rate risk</w:t>
            </w:r>
          </w:p>
        </w:tc>
        <w:tc>
          <w:tcPr>
            <w:tcMar>
              <w:top w:type="dxa" w:w="40"/>
              <w:left w:type="dxa" w:w="80"/>
              <w:bottom w:type="dxa" w:w="40"/>
              <w:right w:type="dxa" w:w="80"/>
            </w:tcMar>
          </w:tcPr>
          <w:p>
            <w:r>
              <w:rPr>
                <w:rFonts w:ascii="Arial" w:cs="Arial" w:eastAsia="Arial" w:hAnsi="Arial"/>
                <w:sz w:val="18"/>
                <w:szCs w:val="18"/>
              </w:rPr>
              <w:t xml:space="preserve">Pricing is floating at 3M SOFR plus 2.75%, with an all-in maximum of 2.78% stated in the application. [Analyst to confirm: consistency between the spread and maximum all-in rate.] (Source: application form)</w:t>
            </w:r>
          </w:p>
        </w:tc>
        <w:tc>
          <w:tcPr>
            <w:tcMar>
              <w:top w:type="dxa" w:w="40"/>
              <w:left w:type="dxa" w:w="80"/>
              <w:bottom w:type="dxa" w:w="40"/>
              <w:right w:type="dxa" w:w="80"/>
            </w:tcMar>
          </w:tcPr>
          <w:p>
            <w:r>
              <w:rPr>
                <w:rFonts w:ascii="Arial" w:cs="Arial" w:eastAsia="Arial" w:hAnsi="Arial"/>
                <w:sz w:val="18"/>
                <w:szCs w:val="18"/>
              </w:rPr>
              <w:t xml:space="preserve">Obtain the customer’s acknowledgement of floating-rate risk; assess affordability under stressed rates and document the applicable repricing, floor/cap and payment mechanics.</w:t>
            </w:r>
          </w:p>
        </w:tc>
      </w:tr>
      <w:tr>
        <w:tc>
          <w:tcPr>
            <w:tcMar>
              <w:top w:type="dxa" w:w="40"/>
              <w:left w:type="dxa" w:w="80"/>
              <w:bottom w:type="dxa" w:w="40"/>
              <w:right w:type="dxa" w:w="80"/>
            </w:tcMar>
          </w:tcPr>
          <w:p>
            <w:r>
              <w:rPr>
                <w:rFonts w:ascii="Arial" w:cs="Arial" w:eastAsia="Arial" w:hAnsi="Arial"/>
                <w:sz w:val="18"/>
                <w:szCs w:val="18"/>
              </w:rPr>
              <w:t xml:space="preserve">Repayment risk</w:t>
            </w:r>
          </w:p>
        </w:tc>
        <w:tc>
          <w:tcPr>
            <w:tcMar>
              <w:top w:type="dxa" w:w="40"/>
              <w:left w:type="dxa" w:w="80"/>
              <w:bottom w:type="dxa" w:w="40"/>
              <w:right w:type="dxa" w:w="80"/>
            </w:tcMar>
          </w:tcPr>
          <w:p>
            <w:r>
              <w:rPr>
                <w:rFonts w:ascii="Arial" w:cs="Arial" w:eastAsia="Arial" w:hAnsi="Arial"/>
                <w:sz w:val="18"/>
                <w:szCs w:val="18"/>
              </w:rPr>
              <w:t xml:space="preserve">FY2025 DSCR is recorded at 0.40x as WEAK, and no verified primary repayment source has been provided. (Source: application form)</w:t>
            </w:r>
          </w:p>
        </w:tc>
        <w:tc>
          <w:tcPr>
            <w:tcMar>
              <w:top w:type="dxa" w:w="40"/>
              <w:left w:type="dxa" w:w="80"/>
              <w:bottom w:type="dxa" w:w="40"/>
              <w:right w:type="dxa" w:w="80"/>
            </w:tcMar>
          </w:tcPr>
          <w:p>
            <w:r>
              <w:rPr>
                <w:rFonts w:ascii="Arial" w:cs="Arial" w:eastAsia="Arial" w:hAnsi="Arial"/>
                <w:sz w:val="18"/>
                <w:szCs w:val="18"/>
              </w:rPr>
              <w:t xml:space="preserve">Confirm recurring repayment income, obtain bank statements and repayment evidence, and make drawdown subject to satisfactory affordability and source-of-funds assessment.</w:t>
            </w:r>
          </w:p>
        </w:tc>
      </w:tr>
      <w:tr>
        <w:tc>
          <w:tcPr>
            <w:tcMar>
              <w:top w:type="dxa" w:w="40"/>
              <w:left w:type="dxa" w:w="80"/>
              <w:bottom w:type="dxa" w:w="40"/>
              <w:right w:type="dxa" w:w="80"/>
            </w:tcMar>
          </w:tcPr>
          <w:p>
            <w:r>
              <w:rPr>
                <w:rFonts w:ascii="Arial" w:cs="Arial" w:eastAsia="Arial" w:hAnsi="Arial"/>
                <w:sz w:val="18"/>
                <w:szCs w:val="18"/>
              </w:rPr>
              <w:t xml:space="preserve">Cash flow &amp; liquidity mismatch</w:t>
            </w:r>
          </w:p>
        </w:tc>
        <w:tc>
          <w:tcPr>
            <w:tcMar>
              <w:top w:type="dxa" w:w="40"/>
              <w:left w:type="dxa" w:w="80"/>
              <w:bottom w:type="dxa" w:w="40"/>
              <w:right w:type="dxa" w:w="80"/>
            </w:tcMar>
          </w:tcPr>
          <w:p>
            <w:r>
              <w:rPr>
                <w:rFonts w:ascii="Arial" w:cs="Arial" w:eastAsia="Arial" w:hAnsi="Arial"/>
                <w:sz w:val="18"/>
                <w:szCs w:val="18"/>
              </w:rPr>
              <w:t xml:space="preserve">FY2025 operating cash flow of QAR 194,653 (000s) was materially below reported debt service of approximately QAR 676,999 (000s). (Source: SIIL Group FS -EN 30 June 2025.pdf, p.12)</w:t>
            </w:r>
          </w:p>
        </w:tc>
        <w:tc>
          <w:tcPr>
            <w:tcMar>
              <w:top w:type="dxa" w:w="40"/>
              <w:left w:type="dxa" w:w="80"/>
              <w:bottom w:type="dxa" w:w="40"/>
              <w:right w:type="dxa" w:w="80"/>
            </w:tcMar>
          </w:tcPr>
          <w:p>
            <w:r>
              <w:rPr>
                <w:rFonts w:ascii="Arial" w:cs="Arial" w:eastAsia="Arial" w:hAnsi="Arial"/>
                <w:sz w:val="18"/>
                <w:szCs w:val="18"/>
              </w:rPr>
              <w:t xml:space="preserve">Do not rely solely on operating cash flow; require a documented repayment plan, liquidity buffer and readily realisable collateral with continuing margin monitoring.</w:t>
            </w:r>
          </w:p>
        </w:tc>
      </w:tr>
      <w:tr>
        <w:tc>
          <w:tcPr>
            <w:tcMar>
              <w:top w:type="dxa" w:w="40"/>
              <w:left w:type="dxa" w:w="80"/>
              <w:bottom w:type="dxa" w:w="40"/>
              <w:right w:type="dxa" w:w="80"/>
            </w:tcMar>
          </w:tcPr>
          <w:p>
            <w:r>
              <w:rPr>
                <w:rFonts w:ascii="Arial" w:cs="Arial" w:eastAsia="Arial" w:hAnsi="Arial"/>
                <w:sz w:val="18"/>
                <w:szCs w:val="18"/>
              </w:rPr>
              <w:t xml:space="preserve">Capital call default</w:t>
            </w:r>
          </w:p>
        </w:tc>
        <w:tc>
          <w:tcPr>
            <w:tcMar>
              <w:top w:type="dxa" w:w="40"/>
              <w:left w:type="dxa" w:w="80"/>
              <w:bottom w:type="dxa" w:w="40"/>
              <w:right w:type="dxa" w:w="80"/>
            </w:tcMar>
          </w:tcPr>
          <w:p>
            <w:r>
              <w:rPr>
                <w:rFonts w:ascii="Arial" w:cs="Arial" w:eastAsia="Arial" w:hAnsi="Arial"/>
                <w:sz w:val="18"/>
                <w:szCs w:val="18"/>
              </w:rPr>
              <w:t xml:space="preserve">The fact pack does not establish that the proposed investment involves capital calls. [Analyst to confirm: whether any fund or investment capital-call obligation exists.]</w:t>
            </w:r>
          </w:p>
        </w:tc>
        <w:tc>
          <w:tcPr>
            <w:tcMar>
              <w:top w:type="dxa" w:w="40"/>
              <w:left w:type="dxa" w:w="80"/>
              <w:bottom w:type="dxa" w:w="40"/>
              <w:right w:type="dxa" w:w="80"/>
            </w:tcMar>
          </w:tcPr>
          <w:p>
            <w:r>
              <w:rPr>
                <w:rFonts w:ascii="Arial" w:cs="Arial" w:eastAsia="Arial" w:hAnsi="Arial"/>
                <w:sz w:val="18"/>
                <w:szCs w:val="18"/>
              </w:rPr>
              <w:t xml:space="preserve">If applicable, obtain evidence of available liquidity to meet calls and prohibit leverage that would impair meeting the call obligation.</w:t>
            </w:r>
          </w:p>
        </w:tc>
      </w:tr>
      <w:tr>
        <w:tc>
          <w:tcPr>
            <w:tcMar>
              <w:top w:type="dxa" w:w="40"/>
              <w:left w:type="dxa" w:w="80"/>
              <w:bottom w:type="dxa" w:w="40"/>
              <w:right w:type="dxa" w:w="80"/>
            </w:tcMar>
          </w:tcPr>
          <w:p>
            <w:r>
              <w:rPr>
                <w:rFonts w:ascii="Arial" w:cs="Arial" w:eastAsia="Arial" w:hAnsi="Arial"/>
                <w:sz w:val="18"/>
                <w:szCs w:val="18"/>
              </w:rPr>
              <w:t xml:space="preserve">Valuation lag</w:t>
            </w:r>
          </w:p>
        </w:tc>
        <w:tc>
          <w:tcPr>
            <w:tcMar>
              <w:top w:type="dxa" w:w="40"/>
              <w:left w:type="dxa" w:w="80"/>
              <w:bottom w:type="dxa" w:w="40"/>
              <w:right w:type="dxa" w:w="80"/>
            </w:tcMar>
          </w:tcPr>
          <w:p>
            <w:r>
              <w:rPr>
                <w:rFonts w:ascii="Arial" w:cs="Arial" w:eastAsia="Arial" w:hAnsi="Arial"/>
                <w:sz w:val="18"/>
                <w:szCs w:val="18"/>
              </w:rPr>
              <w:t xml:space="preserve">Pledged securities or fund units may decline in value before a top-up or liquidation can be completed.</w:t>
            </w:r>
          </w:p>
        </w:tc>
        <w:tc>
          <w:tcPr>
            <w:tcMar>
              <w:top w:type="dxa" w:w="40"/>
              <w:left w:type="dxa" w:w="80"/>
              <w:bottom w:type="dxa" w:w="40"/>
              <w:right w:type="dxa" w:w="80"/>
            </w:tcMar>
          </w:tcPr>
          <w:p>
            <w:r>
              <w:rPr>
                <w:rFonts w:ascii="Arial" w:cs="Arial" w:eastAsia="Arial" w:hAnsi="Arial"/>
                <w:sz w:val="18"/>
                <w:szCs w:val="18"/>
              </w:rPr>
              <w:t xml:space="preserve">Use frequent mark-to-market valuations, conservative eligible-asset haircuts, immediate top-up rights and liquidation authority at the documented trigger levels.</w:t>
            </w:r>
          </w:p>
        </w:tc>
      </w:tr>
      <w:tr>
        <w:tc>
          <w:tcPr>
            <w:tcMar>
              <w:top w:type="dxa" w:w="40"/>
              <w:left w:type="dxa" w:w="80"/>
              <w:bottom w:type="dxa" w:w="40"/>
              <w:right w:type="dxa" w:w="80"/>
            </w:tcMar>
          </w:tcPr>
          <w:p>
            <w:r>
              <w:rPr>
                <w:rFonts w:ascii="Arial" w:cs="Arial" w:eastAsia="Arial" w:hAnsi="Arial"/>
                <w:sz w:val="18"/>
                <w:szCs w:val="18"/>
              </w:rPr>
              <w:t xml:space="preserve">Leverage and related-party recoverability</w:t>
            </w:r>
          </w:p>
        </w:tc>
        <w:tc>
          <w:tcPr>
            <w:tcMar>
              <w:top w:type="dxa" w:w="40"/>
              <w:left w:type="dxa" w:w="80"/>
              <w:bottom w:type="dxa" w:w="40"/>
              <w:right w:type="dxa" w:w="80"/>
            </w:tcMar>
          </w:tcPr>
          <w:p>
            <w:r>
              <w:rPr>
                <w:rFonts w:ascii="Arial" w:cs="Arial" w:eastAsia="Arial" w:hAnsi="Arial"/>
                <w:sz w:val="18"/>
                <w:szCs w:val="18"/>
              </w:rPr>
              <w:t xml:space="preserve">FY2025 total debt was QAR 2,269,365 (000s), and net related-party receivables were QAR 312,733 (000s) after allowance. (Source: SIIL FS Q1-2026 English.pdf, p.4; Source: SIIL Console FS 2025</w:t>
            </w:r>
            <w:r>
              <w:rPr>
                <w:rFonts w:ascii="Arial" w:cs="Arial" w:eastAsia="Arial" w:hAnsi="Arial"/>
                <w:i/>
                <w:iCs/>
                <w:sz w:val="18"/>
                <w:szCs w:val="18"/>
              </w:rPr>
              <w:t xml:space="preserve">EN</w:t>
            </w:r>
            <w:r>
              <w:rPr>
                <w:rFonts w:ascii="Arial" w:cs="Arial" w:eastAsia="Arial" w:hAnsi="Arial"/>
                <w:sz w:val="18"/>
                <w:szCs w:val="18"/>
              </w:rPr>
              <w:t xml:space="preserve">Signed.pdf, p.60)</w:t>
            </w:r>
          </w:p>
        </w:tc>
        <w:tc>
          <w:tcPr>
            <w:tcMar>
              <w:top w:type="dxa" w:w="40"/>
              <w:left w:type="dxa" w:w="80"/>
              <w:bottom w:type="dxa" w:w="40"/>
              <w:right w:type="dxa" w:w="80"/>
            </w:tcMar>
          </w:tcPr>
          <w:p>
            <w:r>
              <w:rPr>
                <w:rFonts w:ascii="Arial" w:cs="Arial" w:eastAsia="Arial" w:hAnsi="Arial"/>
                <w:sz w:val="18"/>
                <w:szCs w:val="18"/>
              </w:rPr>
              <w:t xml:space="preserve">Obtain debt schedules, lender confirmations and related-party ageing, terms and recoverability support; monitor leverage and covenant compliance.</w:t>
            </w:r>
          </w:p>
        </w:tc>
      </w:tr>
      <w:tr>
        <w:tc>
          <w:tcPr>
            <w:tcMar>
              <w:top w:type="dxa" w:w="40"/>
              <w:left w:type="dxa" w:w="80"/>
              <w:bottom w:type="dxa" w:w="40"/>
              <w:right w:type="dxa" w:w="80"/>
            </w:tcMar>
          </w:tcPr>
          <w:p>
            <w:r>
              <w:rPr>
                <w:rFonts w:ascii="Arial" w:cs="Arial" w:eastAsia="Arial" w:hAnsi="Arial"/>
                <w:sz w:val="18"/>
                <w:szCs w:val="18"/>
              </w:rPr>
              <w:t xml:space="preserve">Documentation and assurance</w:t>
            </w:r>
          </w:p>
        </w:tc>
        <w:tc>
          <w:tcPr>
            <w:tcMar>
              <w:top w:type="dxa" w:w="40"/>
              <w:left w:type="dxa" w:w="80"/>
              <w:bottom w:type="dxa" w:w="40"/>
              <w:right w:type="dxa" w:w="80"/>
            </w:tcMar>
          </w:tcPr>
          <w:p>
            <w:r>
              <w:rPr>
                <w:rFonts w:ascii="Arial" w:cs="Arial" w:eastAsia="Arial" w:hAnsi="Arial"/>
                <w:sz w:val="18"/>
                <w:szCs w:val="18"/>
              </w:rPr>
              <w:t xml:space="preserve">Several interim submissions were not reviewed, while the latest interim information is reviewed rather than audited. (Source: SIIL FS March English 2025.pdf, p.2; Source: SIIL FS Q1-2026 English.pdf, p.1)</w:t>
            </w:r>
          </w:p>
        </w:tc>
        <w:tc>
          <w:tcPr>
            <w:tcMar>
              <w:top w:type="dxa" w:w="40"/>
              <w:left w:type="dxa" w:w="80"/>
              <w:bottom w:type="dxa" w:w="40"/>
              <w:right w:type="dxa" w:w="80"/>
            </w:tcMar>
          </w:tcPr>
          <w:p>
            <w:r>
              <w:rPr>
                <w:rFonts w:ascii="Arial" w:cs="Arial" w:eastAsia="Arial" w:hAnsi="Arial"/>
                <w:sz w:val="18"/>
                <w:szCs w:val="18"/>
              </w:rPr>
              <w:t xml:space="preserve">Require current audited annual financial statements, satisfactory interim reporting where applicable, and completion of all legal, bureau, bank-statement and collateral conditions before utilisation.</w:t>
            </w:r>
          </w:p>
        </w:tc>
      </w:tr>
    </w:tbl>
    <w:p>
      <w:pPr>
        <w:spacing w:after="60"/>
      </w:pPr>
      <w:r>
        <w:rPr>
          <w:rFonts w:ascii="Arial" w:cs="Arial" w:eastAsia="Arial" w:hAnsi="Arial"/>
          <w:sz w:val="20"/>
          <w:szCs w:val="20"/>
        </w:rPr>
        <w:t xml:space="preserve"/>
      </w:r>
    </w:p>
    <w:p>
      <w:pPr>
        <w:pStyle w:val="Heading1"/>
        <w:spacing w:after="120" w:before="240"/>
      </w:pPr>
      <w:r>
        <w:rPr>
          <w:rFonts w:ascii="Arial" w:cs="Arial" w:eastAsia="Arial" w:hAnsi="Arial"/>
          <w:b/>
          <w:bCs/>
          <w:color w:val="1F3864"/>
          <w:sz w:val="26"/>
          <w:szCs w:val="26"/>
        </w:rPr>
        <w:t xml:space="preserve">XI. Recommendation</w:t>
      </w:r>
    </w:p>
    <w:p>
      <w:pPr>
        <w:spacing w:after="120"/>
      </w:pPr>
      <w:r>
        <w:rPr>
          <w:rFonts w:ascii="Arial" w:cs="Arial" w:eastAsia="Arial" w:hAnsi="Arial"/>
          <w:i/>
          <w:iCs/>
          <w:color w:val="C00000"/>
          <w:sz w:val="16"/>
          <w:szCs w:val="16"/>
        </w:rPr>
        <w:t xml:space="preserve">[AI-generated draft — pending analyst approval]</w:t>
      </w:r>
    </w:p>
    <w:p>
      <w:pPr>
        <w:spacing w:after="60"/>
        <w:ind w:left="360" w:hanging="360"/>
      </w:pPr>
      <w:r>
        <w:rPr>
          <w:rFonts w:ascii="Arial" w:cs="Arial" w:eastAsia="Arial" w:hAnsi="Arial"/>
          <w:sz w:val="20"/>
          <w:szCs w:val="20"/>
        </w:rPr>
        <w:t xml:space="preserve">1. </w:t>
      </w:r>
      <w:r>
        <w:rPr>
          <w:rFonts w:ascii="Arial" w:cs="Arial" w:eastAsia="Arial" w:hAnsi="Arial"/>
          <w:sz w:val="20"/>
          <w:szCs w:val="20"/>
        </w:rPr>
        <w:t xml:space="preserve">The request is for a USD 10,000K demand loan, equivalent to QAR 36,500K at the stated parity, with a 25-year tenor and two-year availability period. (Source: application form)</w:t>
      </w:r>
    </w:p>
    <w:p>
      <w:pPr>
        <w:spacing w:after="60"/>
        <w:ind w:left="360" w:hanging="360"/>
      </w:pPr>
      <w:r>
        <w:rPr>
          <w:rFonts w:ascii="Arial" w:cs="Arial" w:eastAsia="Arial" w:hAnsi="Arial"/>
          <w:sz w:val="20"/>
          <w:szCs w:val="20"/>
        </w:rPr>
        <w:t xml:space="preserve">2. </w:t>
      </w:r>
      <w:r>
        <w:rPr>
          <w:rFonts w:ascii="Arial" w:cs="Arial" w:eastAsia="Arial" w:hAnsi="Arial"/>
          <w:sz w:val="20"/>
          <w:szCs w:val="20"/>
        </w:rPr>
        <w:t xml:space="preserve">The borrower has demonstrated FY2025 revenue growth and positive profitability; however, reported FY2025 DSCR of 0.40x is WEAK and operating cash flow was materially below reported debt service. (Source: application form; Source: SIIL Group FS -EN 30 June 2025.pdf, p.12)</w:t>
      </w:r>
    </w:p>
    <w:p>
      <w:pPr>
        <w:spacing w:after="60"/>
        <w:ind w:left="360" w:hanging="360"/>
      </w:pPr>
      <w:r>
        <w:rPr>
          <w:rFonts w:ascii="Arial" w:cs="Arial" w:eastAsia="Arial" w:hAnsi="Arial"/>
          <w:sz w:val="20"/>
          <w:szCs w:val="20"/>
        </w:rPr>
        <w:t xml:space="preserve">3. </w:t>
      </w:r>
      <w:r>
        <w:rPr>
          <w:rFonts w:ascii="Arial" w:cs="Arial" w:eastAsia="Arial" w:hAnsi="Arial"/>
          <w:sz w:val="20"/>
          <w:szCs w:val="20"/>
        </w:rPr>
        <w:t xml:space="preserve">The proposed risk is further affected by high leverage, material related-party receivables, existing security over investment properties and contingent obligations. (Source: SIIL FS Q1-2026 English.pdf, p.4;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p.60; Source: SIIL -HY 2026-English Signed.pdf, pp.16, 23)</w:t>
      </w:r>
    </w:p>
    <w:p>
      <w:pPr>
        <w:spacing w:after="60"/>
        <w:ind w:left="360" w:hanging="360"/>
      </w:pPr>
      <w:r>
        <w:rPr>
          <w:rFonts w:ascii="Arial" w:cs="Arial" w:eastAsia="Arial" w:hAnsi="Arial"/>
          <w:sz w:val="20"/>
          <w:szCs w:val="20"/>
        </w:rPr>
        <w:t xml:space="preserve">4. </w:t>
      </w:r>
      <w:r>
        <w:rPr>
          <w:rFonts w:ascii="Arial" w:cs="Arial" w:eastAsia="Arial" w:hAnsi="Arial"/>
          <w:sz w:val="20"/>
          <w:szCs w:val="20"/>
        </w:rPr>
        <w:t xml:space="preserve">No bank statements, QCB/Credit Bureau reports or collateral documents have been uploaded. The primary repayment source and any guarantor support also remain unconfirmed. (Source: application form)</w:t>
      </w:r>
    </w:p>
    <w:p>
      <w:pPr>
        <w:spacing w:after="60"/>
        <w:ind w:left="360" w:hanging="360"/>
      </w:pPr>
      <w:r>
        <w:rPr>
          <w:rFonts w:ascii="Arial" w:cs="Arial" w:eastAsia="Arial" w:hAnsi="Arial"/>
          <w:sz w:val="20"/>
          <w:szCs w:val="20"/>
        </w:rPr>
        <w:t xml:space="preserve">5. </w:t>
      </w:r>
      <w:r>
        <w:rPr>
          <w:rFonts w:ascii="Arial" w:cs="Arial" w:eastAsia="Arial" w:hAnsi="Arial"/>
          <w:sz w:val="20"/>
          <w:szCs w:val="20"/>
        </w:rPr>
        <w:t xml:space="preserve">Any consideration should therefore be subject to satisfactory bureau and conduct checks, confirmation of repayment capacity, enforceable perfection of the pledged collateral, independent valuation, compliance with the stated margin triggers, confirmation of ranking and pari passu position, and receipt of any required QCB approval for FX lending. (Source: application form)</w:t>
      </w:r>
    </w:p>
    <w:p>
      <w:pPr>
        <w:spacing w:after="120"/>
        <w:jc w:val="both"/>
      </w:pPr>
      <w:r>
        <w:rPr>
          <w:rFonts w:ascii="Arial" w:cs="Arial" w:eastAsia="Arial" w:hAnsi="Arial"/>
          <w:sz w:val="20"/>
          <w:szCs w:val="20"/>
        </w:rPr>
        <w:t xml:space="preserve">The facility is proposed for the committee’s consideration, subject to satisfactory completion of the above confirmations and conditions precedent; no approval is implied.</w:t>
      </w:r>
    </w:p>
    <w:p>
      <w:pPr>
        <w:pStyle w:val="Heading1"/>
        <w:spacing w:after="120" w:before="240"/>
      </w:pPr>
      <w:r>
        <w:rPr>
          <w:rFonts w:ascii="Arial" w:cs="Arial" w:eastAsia="Arial" w:hAnsi="Arial"/>
          <w:b/>
          <w:bCs/>
          <w:color w:val="1F3864"/>
          <w:sz w:val="26"/>
          <w:szCs w:val="26"/>
        </w:rPr>
        <w:t xml:space="preserve">Additional Sections</w:t>
      </w:r>
    </w:p>
    <w:p>
      <w:pPr>
        <w:pStyle w:val="Heading2"/>
        <w:spacing w:after="120" w:before="240"/>
      </w:pPr>
      <w:r>
        <w:rPr>
          <w:rFonts w:ascii="Arial" w:cs="Arial" w:eastAsia="Arial" w:hAnsi="Arial"/>
          <w:b/>
          <w:bCs/>
          <w:color w:val="1F3864"/>
          <w:sz w:val="22"/>
          <w:szCs w:val="22"/>
        </w:rPr>
        <w:t xml:space="preserve">Dividend Trend</w:t>
      </w:r>
    </w:p>
    <w:p>
      <w:pPr>
        <w:spacing w:after="120"/>
      </w:pPr>
      <w:r>
        <w:rPr>
          <w:rFonts w:ascii="Arial" w:cs="Arial" w:eastAsia="Arial" w:hAnsi="Arial"/>
          <w:i/>
          <w:iCs/>
          <w:color w:val="C00000"/>
          <w:sz w:val="16"/>
          <w:szCs w:val="16"/>
        </w:rPr>
        <w:t xml:space="preserve">[Researched on the web — not taken from the uploaded document pack; every figure must be verified]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Salam International Investment Limited Q.P.S.C.’s publicly reported dividend record for the ten completed calendar years </w:t>
      </w:r>
      <w:r>
        <w:rPr>
          <w:rFonts w:ascii="Arial" w:cs="Arial" w:eastAsia="Arial" w:hAnsi="Arial"/>
          <w:b/>
          <w:bCs/>
          <w:sz w:val="20"/>
          <w:szCs w:val="20"/>
        </w:rPr>
        <w:t xml:space="preserve">2016–2025</w:t>
      </w:r>
      <w:r>
        <w:rPr>
          <w:rFonts w:ascii="Arial" w:cs="Arial" w:eastAsia="Arial" w:hAnsi="Arial"/>
          <w:sz w:val="20"/>
          <w:szCs w:val="20"/>
        </w:rPr>
        <w:t xml:space="preserve"> is shown below. The figures represent cash dividends per share in QAR, based on the year in which the dividend was declared or paid; </w:t>
      </w:r>
      <w:r>
        <w:rPr>
          <w:rFonts w:ascii="Arial" w:cs="Arial" w:eastAsia="Arial" w:hAnsi="Arial"/>
          <w:b/>
          <w:bCs/>
          <w:sz w:val="20"/>
          <w:szCs w:val="20"/>
        </w:rPr>
        <w:t xml:space="preserve">2026 is excluded because it is not a completed year</w:t>
      </w:r>
      <w:r>
        <w:rPr>
          <w:rFonts w:ascii="Arial" w:cs="Arial" w:eastAsia="Arial" w:hAnsi="Arial"/>
          <w:sz w:val="20"/>
          <w:szCs w:val="20"/>
        </w:rPr>
        <w:t xml:space="preserve">. The company’s 2025 dividend of QAR 0.06 per share was approved at the AGM held on 29 March 2026 and is therefore not included in the ten-year period. [Salam International 2025 financial statements](https://siis.com/wp-content/uploads/2026/03/SIIL-Console-FS-2025-English_V4-WT-1.pdf?forcedownload=1) [MarketScreener dividend history](https://www.marketscreener.com/quote/stock/SALAM-INTERNATIONAL-INVES-9733973/graphics-total-return/)</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Year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Dividend per share (QAR)</w:t>
            </w:r>
          </w:p>
        </w:tc>
      </w:tr>
      <w:tr>
        <w:tc>
          <w:tcPr>
            <w:tcMar>
              <w:top w:type="dxa" w:w="40"/>
              <w:left w:type="dxa" w:w="80"/>
              <w:bottom w:type="dxa" w:w="40"/>
              <w:right w:type="dxa" w:w="80"/>
            </w:tcMar>
          </w:tcPr>
          <w:p>
            <w:r>
              <w:rPr>
                <w:rFonts w:ascii="Arial" w:cs="Arial" w:eastAsia="Arial" w:hAnsi="Arial"/>
                <w:sz w:val="18"/>
                <w:szCs w:val="18"/>
              </w:rPr>
              <w:t xml:space="preserve">2016</w:t>
            </w:r>
          </w:p>
        </w:tc>
        <w:tc>
          <w:tcPr>
            <w:tcMar>
              <w:top w:type="dxa" w:w="40"/>
              <w:left w:type="dxa" w:w="80"/>
              <w:bottom w:type="dxa" w:w="40"/>
              <w:right w:type="dxa" w:w="80"/>
            </w:tcMar>
          </w:tcPr>
          <w:p>
            <w:r>
              <w:rPr>
                <w:rFonts w:ascii="Arial" w:cs="Arial" w:eastAsia="Arial" w:hAnsi="Arial"/>
                <w:sz w:val="18"/>
                <w:szCs w:val="18"/>
              </w:rPr>
              <w:t xml:space="preserve">1.00 [The Peninsula](https://thepeninsulaqatar.com/article/06/04/2016/SIIL-general-assembly-approves-10-dividend)</w:t>
            </w:r>
          </w:p>
        </w:tc>
      </w:tr>
      <w:tr>
        <w:tc>
          <w:tcPr>
            <w:tcMar>
              <w:top w:type="dxa" w:w="40"/>
              <w:left w:type="dxa" w:w="80"/>
              <w:bottom w:type="dxa" w:w="40"/>
              <w:right w:type="dxa" w:w="80"/>
            </w:tcMar>
          </w:tcPr>
          <w:p>
            <w:r>
              <w:rPr>
                <w:rFonts w:ascii="Arial" w:cs="Arial" w:eastAsia="Arial" w:hAnsi="Arial"/>
                <w:sz w:val="18"/>
                <w:szCs w:val="18"/>
              </w:rPr>
              <w:t xml:space="preserve">2017</w:t>
            </w:r>
          </w:p>
        </w:tc>
        <w:tc>
          <w:tcPr>
            <w:tcMar>
              <w:top w:type="dxa" w:w="40"/>
              <w:left w:type="dxa" w:w="80"/>
              <w:bottom w:type="dxa" w:w="40"/>
              <w:right w:type="dxa" w:w="80"/>
            </w:tcMar>
          </w:tcPr>
          <w:p>
            <w:r>
              <w:rPr>
                <w:rFonts w:ascii="Arial" w:cs="Arial" w:eastAsia="Arial" w:hAnsi="Arial"/>
                <w:sz w:val="18"/>
                <w:szCs w:val="18"/>
              </w:rPr>
              <w:t xml:space="preserve">0.80 [MarketScreener](https://www.marketscreener.com/quote/stock/SALAM-INTERNATIONAL-INVES-9733973/graphics-total-return/)</w:t>
            </w:r>
          </w:p>
        </w:tc>
      </w:tr>
      <w:tr>
        <w:tc>
          <w:tcPr>
            <w:tcMar>
              <w:top w:type="dxa" w:w="40"/>
              <w:left w:type="dxa" w:w="80"/>
              <w:bottom w:type="dxa" w:w="40"/>
              <w:right w:type="dxa" w:w="80"/>
            </w:tcMar>
          </w:tcPr>
          <w:p>
            <w:r>
              <w:rPr>
                <w:rFonts w:ascii="Arial" w:cs="Arial" w:eastAsia="Arial" w:hAnsi="Arial"/>
                <w:sz w:val="18"/>
                <w:szCs w:val="18"/>
              </w:rPr>
              <w:t xml:space="preserve">2018</w:t>
            </w:r>
          </w:p>
        </w:tc>
        <w:tc>
          <w:tcPr>
            <w:tcMar>
              <w:top w:type="dxa" w:w="40"/>
              <w:left w:type="dxa" w:w="80"/>
              <w:bottom w:type="dxa" w:w="40"/>
              <w:right w:type="dxa" w:w="80"/>
            </w:tcMar>
          </w:tcPr>
          <w:p>
            <w:r>
              <w:rPr>
                <w:rFonts w:ascii="Arial" w:cs="Arial" w:eastAsia="Arial" w:hAnsi="Arial"/>
                <w:sz w:val="18"/>
                <w:szCs w:val="18"/>
              </w:rPr>
              <w:t xml:space="preserve">0.00 [Salam International 2018 Annual Report](https://siis.com/wp-content/uploads/2022/10/Annual-Report-2018</w:t>
            </w:r>
            <w:r>
              <w:rPr>
                <w:rFonts w:ascii="Arial" w:cs="Arial" w:eastAsia="Arial" w:hAnsi="Arial"/>
                <w:i/>
                <w:iCs/>
                <w:sz w:val="18"/>
                <w:szCs w:val="18"/>
              </w:rPr>
              <w:t xml:space="preserve">Englishi</w:t>
            </w:r>
            <w:r>
              <w:rPr>
                <w:rFonts w:ascii="Arial" w:cs="Arial" w:eastAsia="Arial" w:hAnsi="Arial"/>
                <w:sz w:val="18"/>
                <w:szCs w:val="18"/>
              </w:rPr>
              <w:t xml:space="preserve">V4-.pdf?forcedownload=1)</w:t>
            </w:r>
          </w:p>
        </w:tc>
      </w:tr>
      <w:tr>
        <w:tc>
          <w:tcPr>
            <w:tcMar>
              <w:top w:type="dxa" w:w="40"/>
              <w:left w:type="dxa" w:w="80"/>
              <w:bottom w:type="dxa" w:w="40"/>
              <w:right w:type="dxa" w:w="80"/>
            </w:tcMar>
          </w:tcPr>
          <w:p>
            <w:r>
              <w:rPr>
                <w:rFonts w:ascii="Arial" w:cs="Arial" w:eastAsia="Arial" w:hAnsi="Arial"/>
                <w:sz w:val="18"/>
                <w:szCs w:val="18"/>
              </w:rPr>
              <w:t xml:space="preserve">2019</w:t>
            </w:r>
          </w:p>
        </w:tc>
        <w:tc>
          <w:tcPr>
            <w:tcMar>
              <w:top w:type="dxa" w:w="40"/>
              <w:left w:type="dxa" w:w="80"/>
              <w:bottom w:type="dxa" w:w="40"/>
              <w:right w:type="dxa" w:w="80"/>
            </w:tcMar>
          </w:tcPr>
          <w:p>
            <w:r>
              <w:rPr>
                <w:rFonts w:ascii="Arial" w:cs="Arial" w:eastAsia="Arial" w:hAnsi="Arial"/>
                <w:sz w:val="18"/>
                <w:szCs w:val="18"/>
              </w:rPr>
              <w:t xml:space="preserve">0.00 [QNB Financial Services](https://www.qnbfs.com/sites/qnb/qnbfs/document/ar/arDMR12March2020)</w:t>
            </w:r>
          </w:p>
        </w:tc>
      </w:tr>
      <w:tr>
        <w:tc>
          <w:tcPr>
            <w:tcMar>
              <w:top w:type="dxa" w:w="40"/>
              <w:left w:type="dxa" w:w="80"/>
              <w:bottom w:type="dxa" w:w="40"/>
              <w:right w:type="dxa" w:w="80"/>
            </w:tcMar>
          </w:tcPr>
          <w:p>
            <w:r>
              <w:rPr>
                <w:rFonts w:ascii="Arial" w:cs="Arial" w:eastAsia="Arial" w:hAnsi="Arial"/>
                <w:sz w:val="18"/>
                <w:szCs w:val="18"/>
              </w:rPr>
              <w:t xml:space="preserve">2020</w:t>
            </w:r>
          </w:p>
        </w:tc>
        <w:tc>
          <w:tcPr>
            <w:tcMar>
              <w:top w:type="dxa" w:w="40"/>
              <w:left w:type="dxa" w:w="80"/>
              <w:bottom w:type="dxa" w:w="40"/>
              <w:right w:type="dxa" w:w="80"/>
            </w:tcMar>
          </w:tcPr>
          <w:p>
            <w:r>
              <w:rPr>
                <w:rFonts w:ascii="Arial" w:cs="Arial" w:eastAsia="Arial" w:hAnsi="Arial"/>
                <w:sz w:val="18"/>
                <w:szCs w:val="18"/>
              </w:rPr>
              <w:t xml:space="preserve">0.00 [Salam International investor documents](https://siis.com/investors/)</w:t>
            </w:r>
          </w:p>
        </w:tc>
      </w:tr>
      <w:tr>
        <w:tc>
          <w:tcPr>
            <w:tcMar>
              <w:top w:type="dxa" w:w="40"/>
              <w:left w:type="dxa" w:w="80"/>
              <w:bottom w:type="dxa" w:w="40"/>
              <w:right w:type="dxa" w:w="80"/>
            </w:tcMar>
          </w:tcPr>
          <w:p>
            <w:r>
              <w:rPr>
                <w:rFonts w:ascii="Arial" w:cs="Arial" w:eastAsia="Arial" w:hAnsi="Arial"/>
                <w:sz w:val="18"/>
                <w:szCs w:val="18"/>
              </w:rPr>
              <w:t xml:space="preserve">2021</w:t>
            </w:r>
          </w:p>
        </w:tc>
        <w:tc>
          <w:tcPr>
            <w:tcMar>
              <w:top w:type="dxa" w:w="40"/>
              <w:left w:type="dxa" w:w="80"/>
              <w:bottom w:type="dxa" w:w="40"/>
              <w:right w:type="dxa" w:w="80"/>
            </w:tcMar>
          </w:tcPr>
          <w:p>
            <w:r>
              <w:rPr>
                <w:rFonts w:ascii="Arial" w:cs="Arial" w:eastAsia="Arial" w:hAnsi="Arial"/>
                <w:sz w:val="18"/>
                <w:szCs w:val="18"/>
              </w:rPr>
              <w:t xml:space="preserve">0.00 [QNB Financial Services](https://qnb.com/sites/qnb/qnbfs/document/ar/ar4Q2022-Earnings-Review-30-03-2023)</w:t>
            </w:r>
          </w:p>
        </w:tc>
      </w:tr>
      <w:tr>
        <w:tc>
          <w:tcPr>
            <w:tcMar>
              <w:top w:type="dxa" w:w="40"/>
              <w:left w:type="dxa" w:w="80"/>
              <w:bottom w:type="dxa" w:w="40"/>
              <w:right w:type="dxa" w:w="80"/>
            </w:tcMar>
          </w:tcPr>
          <w:p>
            <w:r>
              <w:rPr>
                <w:rFonts w:ascii="Arial" w:cs="Arial" w:eastAsia="Arial" w:hAnsi="Arial"/>
                <w:sz w:val="18"/>
                <w:szCs w:val="18"/>
              </w:rPr>
              <w:t xml:space="preserve">2022</w:t>
            </w:r>
          </w:p>
        </w:tc>
        <w:tc>
          <w:tcPr>
            <w:tcMar>
              <w:top w:type="dxa" w:w="40"/>
              <w:left w:type="dxa" w:w="80"/>
              <w:bottom w:type="dxa" w:w="40"/>
              <w:right w:type="dxa" w:w="80"/>
            </w:tcMar>
          </w:tcPr>
          <w:p>
            <w:r>
              <w:rPr>
                <w:rFonts w:ascii="Arial" w:cs="Arial" w:eastAsia="Arial" w:hAnsi="Arial"/>
                <w:sz w:val="18"/>
                <w:szCs w:val="18"/>
              </w:rPr>
              <w:t xml:space="preserve">0.00 [QNB Financial Services](https://qnb.com/sites/qnb/qnbfs/document/ar/ar4Q2022-Earnings-Review-30-03-2023)</w:t>
            </w:r>
          </w:p>
        </w:tc>
      </w:tr>
      <w:tr>
        <w:tc>
          <w:tcPr>
            <w:tcMar>
              <w:top w:type="dxa" w:w="40"/>
              <w:left w:type="dxa" w:w="80"/>
              <w:bottom w:type="dxa" w:w="40"/>
              <w:right w:type="dxa" w:w="80"/>
            </w:tcMar>
          </w:tcPr>
          <w:p>
            <w:r>
              <w:rPr>
                <w:rFonts w:ascii="Arial" w:cs="Arial" w:eastAsia="Arial" w:hAnsi="Arial"/>
                <w:sz w:val="18"/>
                <w:szCs w:val="18"/>
              </w:rPr>
              <w:t xml:space="preserve">2023</w:t>
            </w:r>
          </w:p>
        </w:tc>
        <w:tc>
          <w:tcPr>
            <w:tcMar>
              <w:top w:type="dxa" w:w="40"/>
              <w:left w:type="dxa" w:w="80"/>
              <w:bottom w:type="dxa" w:w="40"/>
              <w:right w:type="dxa" w:w="80"/>
            </w:tcMar>
          </w:tcPr>
          <w:p>
            <w:r>
              <w:rPr>
                <w:rFonts w:ascii="Arial" w:cs="Arial" w:eastAsia="Arial" w:hAnsi="Arial"/>
                <w:sz w:val="18"/>
                <w:szCs w:val="18"/>
              </w:rPr>
              <w:t xml:space="preserve">0.03 [Salam International 2024 Annual Report](https://siis.com/wp-content/uploads/2025/03/SIIL-AnnualReport2024-EN-AW-Digital.pdf)</w:t>
            </w:r>
          </w:p>
        </w:tc>
      </w:tr>
      <w:tr>
        <w:tc>
          <w:tcPr>
            <w:tcMar>
              <w:top w:type="dxa" w:w="40"/>
              <w:left w:type="dxa" w:w="80"/>
              <w:bottom w:type="dxa" w:w="40"/>
              <w:right w:type="dxa" w:w="80"/>
            </w:tcMar>
          </w:tcPr>
          <w:p>
            <w:r>
              <w:rPr>
                <w:rFonts w:ascii="Arial" w:cs="Arial" w:eastAsia="Arial" w:hAnsi="Arial"/>
                <w:sz w:val="18"/>
                <w:szCs w:val="18"/>
              </w:rPr>
              <w:t xml:space="preserve">2024</w:t>
            </w:r>
          </w:p>
        </w:tc>
        <w:tc>
          <w:tcPr>
            <w:tcMar>
              <w:top w:type="dxa" w:w="40"/>
              <w:left w:type="dxa" w:w="80"/>
              <w:bottom w:type="dxa" w:w="40"/>
              <w:right w:type="dxa" w:w="80"/>
            </w:tcMar>
          </w:tcPr>
          <w:p>
            <w:r>
              <w:rPr>
                <w:rFonts w:ascii="Arial" w:cs="Arial" w:eastAsia="Arial" w:hAnsi="Arial"/>
                <w:sz w:val="18"/>
                <w:szCs w:val="18"/>
              </w:rPr>
              <w:t xml:space="preserve">0.04 [Salam International 2025 financial statements](https://siis.com/wp-content/uploads/2026/03/SIIL-Console-FS-2025-English_V4-WT-1.pdf?forcedownload=1)</w:t>
            </w:r>
          </w:p>
        </w:tc>
      </w:tr>
      <w:tr>
        <w:tc>
          <w:tcPr>
            <w:tcMar>
              <w:top w:type="dxa" w:w="40"/>
              <w:left w:type="dxa" w:w="80"/>
              <w:bottom w:type="dxa" w:w="40"/>
              <w:right w:type="dxa" w:w="80"/>
            </w:tcMar>
          </w:tcPr>
          <w:p>
            <w:r>
              <w:rPr>
                <w:rFonts w:ascii="Arial" w:cs="Arial" w:eastAsia="Arial" w:hAnsi="Arial"/>
                <w:sz w:val="18"/>
                <w:szCs w:val="18"/>
              </w:rPr>
              <w:t xml:space="preserve">2025</w:t>
            </w:r>
          </w:p>
        </w:tc>
        <w:tc>
          <w:tcPr>
            <w:tcMar>
              <w:top w:type="dxa" w:w="40"/>
              <w:left w:type="dxa" w:w="80"/>
              <w:bottom w:type="dxa" w:w="40"/>
              <w:right w:type="dxa" w:w="80"/>
            </w:tcMar>
          </w:tcPr>
          <w:p>
            <w:r>
              <w:rPr>
                <w:rFonts w:ascii="Arial" w:cs="Arial" w:eastAsia="Arial" w:hAnsi="Arial"/>
                <w:sz w:val="18"/>
                <w:szCs w:val="18"/>
              </w:rPr>
              <w:t xml:space="preserve">0.04 [StockAnalysis](https://stockanalysis.com/quote/qse/SIIS/dividend/)</w:t>
            </w:r>
          </w:p>
        </w:tc>
      </w:tr>
    </w:tbl>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The dividend profile is </w:t>
      </w:r>
      <w:r>
        <w:rPr>
          <w:rFonts w:ascii="Arial" w:cs="Arial" w:eastAsia="Arial" w:hAnsi="Arial"/>
          <w:b/>
          <w:bCs/>
          <w:sz w:val="20"/>
          <w:szCs w:val="20"/>
        </w:rPr>
        <w:t xml:space="preserve">not stable over the full period</w:t>
      </w:r>
      <w:r>
        <w:rPr>
          <w:rFonts w:ascii="Arial" w:cs="Arial" w:eastAsia="Arial" w:hAnsi="Arial"/>
          <w:sz w:val="20"/>
          <w:szCs w:val="20"/>
        </w:rPr>
        <w:t xml:space="preserve">. Payments were high in 2016–2017, followed by a five-year suspension from 2018 to 2022. Dividends resumed in 2023 and increased to QAR 0.04 per share in 2024, but remained unchanged in 2025. This indicates a discretionary and earnings-sensitive distribution policy rather than a consistently progressive dividend stream. The 2026 payment of QAR 0.06 per share represents an improvement, but its sustainability cannot be assessed from the dividend history alone.</w:t>
      </w:r>
    </w:p>
    <w:p>
      <w:pPr>
        <w:spacing w:after="60"/>
      </w:pPr>
      <w:r>
        <w:rPr>
          <w:rFonts w:ascii="Arial" w:cs="Arial" w:eastAsia="Arial" w:hAnsi="Arial"/>
          <w:b/>
          <w:bCs/>
          <w:sz w:val="18"/>
          <w:szCs w:val="18"/>
        </w:rPr>
        <w:t xml:space="preserve">Salam International annual dividends (QAR per share)</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Series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2017</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2018</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2019</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2020</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2021</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2022</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2025</w:t>
            </w:r>
          </w:p>
        </w:tc>
      </w:tr>
      <w:tr>
        <w:tc>
          <w:tcPr>
            <w:tcMar>
              <w:top w:type="dxa" w:w="40"/>
              <w:left w:type="dxa" w:w="80"/>
              <w:bottom w:type="dxa" w:w="40"/>
              <w:right w:type="dxa" w:w="80"/>
            </w:tcMar>
          </w:tcPr>
          <w:p>
            <w:r>
              <w:rPr>
                <w:rFonts w:ascii="Arial" w:cs="Arial" w:eastAsia="Arial" w:hAnsi="Arial"/>
                <w:b/>
                <w:bCs/>
                <w:sz w:val="18"/>
                <w:szCs w:val="18"/>
              </w:rPr>
              <w:t xml:space="preserve">Dividend</w:t>
            </w:r>
          </w:p>
        </w:tc>
        <w:tc>
          <w:tcPr>
            <w:tcMar>
              <w:top w:type="dxa" w:w="40"/>
              <w:left w:type="dxa" w:w="80"/>
              <w:bottom w:type="dxa" w:w="40"/>
              <w:right w:type="dxa" w:w="80"/>
            </w:tcMar>
          </w:tcPr>
          <w:p>
            <w:pPr>
              <w:jc w:val="right"/>
            </w:pPr>
            <w:r>
              <w:rPr>
                <w:rFonts w:ascii="Arial" w:cs="Arial" w:eastAsia="Arial" w:hAnsi="Arial"/>
                <w:sz w:val="18"/>
                <w:szCs w:val="18"/>
              </w:rPr>
              <w:t xml:space="preserve">1.00</w:t>
            </w:r>
          </w:p>
        </w:tc>
        <w:tc>
          <w:tcPr>
            <w:tcMar>
              <w:top w:type="dxa" w:w="40"/>
              <w:left w:type="dxa" w:w="80"/>
              <w:bottom w:type="dxa" w:w="40"/>
              <w:right w:type="dxa" w:w="80"/>
            </w:tcMar>
          </w:tcPr>
          <w:p>
            <w:pPr>
              <w:jc w:val="right"/>
            </w:pPr>
            <w:r>
              <w:rPr>
                <w:rFonts w:ascii="Arial" w:cs="Arial" w:eastAsia="Arial" w:hAnsi="Arial"/>
                <w:sz w:val="18"/>
                <w:szCs w:val="18"/>
              </w:rPr>
              <w:t xml:space="preserve">0.80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0.03</w:t>
            </w:r>
          </w:p>
        </w:tc>
        <w:tc>
          <w:tcPr>
            <w:tcMar>
              <w:top w:type="dxa" w:w="40"/>
              <w:left w:type="dxa" w:w="80"/>
              <w:bottom w:type="dxa" w:w="40"/>
              <w:right w:type="dxa" w:w="80"/>
            </w:tcMar>
          </w:tcPr>
          <w:p>
            <w:pPr>
              <w:jc w:val="right"/>
            </w:pPr>
            <w:r>
              <w:rPr>
                <w:rFonts w:ascii="Arial" w:cs="Arial" w:eastAsia="Arial" w:hAnsi="Arial"/>
                <w:sz w:val="18"/>
                <w:szCs w:val="18"/>
              </w:rPr>
              <w:t xml:space="preserve">0.04</w:t>
            </w:r>
          </w:p>
        </w:tc>
        <w:tc>
          <w:tcPr>
            <w:tcMar>
              <w:top w:type="dxa" w:w="40"/>
              <w:left w:type="dxa" w:w="80"/>
              <w:bottom w:type="dxa" w:w="40"/>
              <w:right w:type="dxa" w:w="80"/>
            </w:tcMar>
          </w:tcPr>
          <w:p>
            <w:pPr>
              <w:jc w:val="right"/>
            </w:pPr>
            <w:r>
              <w:rPr>
                <w:rFonts w:ascii="Arial" w:cs="Arial" w:eastAsia="Arial" w:hAnsi="Arial"/>
                <w:sz w:val="18"/>
                <w:szCs w:val="18"/>
              </w:rPr>
              <w:t xml:space="preserve">0.04</w:t>
            </w:r>
          </w:p>
        </w:tc>
      </w:tr>
    </w:tbl>
    <w:p>
      <w:pPr>
        <w:spacing w:after="120"/>
      </w:pPr>
      <w:r>
        <w:rPr>
          <w:rFonts w:ascii="Arial" w:cs="Arial" w:eastAsia="Arial" w:hAnsi="Arial"/>
          <w:i/>
          <w:iCs/>
          <w:color w:val="595959"/>
          <w:sz w:val="16"/>
          <w:szCs w:val="16"/>
        </w:rPr>
        <w:t xml:space="preserve">Sources: Salam International, The Peninsula, QNB Financial Services, MarketScreener and StockAnalysis; accessed September 15, 2026.</w:t>
      </w:r>
    </w:p>
    <w:p>
      <w:pPr>
        <w:pStyle w:val="Heading1"/>
        <w:spacing w:after="120" w:before="240"/>
      </w:pPr>
      <w:r>
        <w:rPr>
          <w:rFonts w:ascii="Arial" w:cs="Arial" w:eastAsia="Arial" w:hAnsi="Arial"/>
          <w:b/>
          <w:bCs/>
          <w:color w:val="1F3864"/>
          <w:sz w:val="26"/>
          <w:szCs w:val="26"/>
        </w:rPr>
        <w:t xml:space="preserve">XII. Appendix</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Attachment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Category</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Pages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Uploaded</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SIIL  Consol FS English Dec'2024.pdf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83</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2</w:t>
            </w:r>
          </w:p>
        </w:tc>
        <w:tc>
          <w:tcPr>
            <w:tcMar>
              <w:top w:type="dxa" w:w="40"/>
              <w:left w:type="dxa" w:w="80"/>
              <w:bottom w:type="dxa" w:w="40"/>
              <w:right w:type="dxa" w:w="80"/>
            </w:tcMar>
          </w:tcPr>
          <w:p>
            <w:r>
              <w:rPr>
                <w:rFonts w:ascii="Arial" w:cs="Arial" w:eastAsia="Arial" w:hAnsi="Arial"/>
                <w:sz w:val="18"/>
                <w:szCs w:val="18"/>
              </w:rPr>
              <w:t xml:space="preserve">EN SALAM.pdf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SIIL FS Q1-2026 English.pdf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SIIL Group FS -EN 30 June 2025.pdf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29</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5</w:t>
            </w:r>
          </w:p>
        </w:tc>
        <w:tc>
          <w:tcPr>
            <w:tcMar>
              <w:top w:type="dxa" w:w="40"/>
              <w:left w:type="dxa" w:w="80"/>
              <w:bottom w:type="dxa" w:w="40"/>
              <w:right w:type="dxa" w:w="80"/>
            </w:tcMar>
          </w:tcPr>
          <w:p>
            <w:r>
              <w:rPr>
                <w:rFonts w:ascii="Arial" w:cs="Arial" w:eastAsia="Arial" w:hAnsi="Arial"/>
                <w:sz w:val="18"/>
                <w:szCs w:val="18"/>
              </w:rPr>
              <w:t xml:space="preserve">SIIL Console FS 2025_EN_Signed.pdf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84</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SIIL -HY 2026-English Signed.pdf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SIIL FS March English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15 Sept 2026</w:t>
            </w:r>
          </w:p>
        </w:tc>
      </w:tr>
      <w:tr>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SIIL English FS Sep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15 Sept 2026</w:t>
            </w:r>
          </w:p>
        </w:tc>
      </w:tr>
    </w:tbl>
    <w:p>
      <w:pPr>
        <w:spacing w:after="120"/>
      </w:pPr>
      <w:r>
        <w:rPr>
          <w:rFonts w:ascii="Arial" w:cs="Arial" w:eastAsia="Arial" w:hAnsi="Arial"/>
          <w:sz w:val="20"/>
          <w:szCs w:val="20"/>
        </w:rPr>
        <w:t xml:space="preserve"/>
      </w:r>
    </w:p>
    <w:p>
      <w:pPr>
        <w:spacing w:after="120"/>
      </w:pPr>
      <w:r>
        <w:rPr>
          <w:rFonts w:ascii="Arial" w:cs="Arial" w:eastAsia="Arial" w:hAnsi="Arial"/>
          <w:i/>
          <w:iCs/>
          <w:color w:val="808080"/>
          <w:sz w:val="16"/>
          <w:szCs w:val="16"/>
        </w:rPr>
        <w:t xml:space="preserve">Generated by the CAM Portal on 01 Nov 2026 03:30 — stage 10: Monitoring &amp; Renewal.</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rFonts w:ascii="Arial" w:cs="Arial" w:eastAsia="Arial" w:hAnsi="Arial"/>
        <w:color w:val="808080"/>
        <w:sz w:val="16"/>
        <w:szCs w:val="16"/>
      </w:rPr>
      <w:t xml:space="preserve">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rPr>
        <w:rFonts w:ascii="Arial" w:cs="Arial" w:eastAsia="Arial" w:hAnsi="Arial"/>
        <w:color w:val="808080"/>
        <w:sz w:val="16"/>
        <w:szCs w:val="16"/>
      </w:rPr>
      <w:t xml:space="preserve">Ahlibank Q.P.S.C. — Credit Appraisal Memorandum — CAM-0007/2026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 CAM-0007/2026</dc:title>
  <dc:creator>CAM Portal</dc:creator>
  <cp:lastModifiedBy>Un-named</cp:lastModifiedBy>
  <cp:revision>1</cp:revision>
  <dcterms:created xsi:type="dcterms:W3CDTF">2026-11-01T00:30:29.684Z</dcterms:created>
  <dcterms:modified xsi:type="dcterms:W3CDTF">2026-11-01T00:30:29.684Z</dcterms:modified>
</cp:coreProperties>
</file>

<file path=docProps/custom.xml><?xml version="1.0" encoding="utf-8"?>
<Properties xmlns="http://schemas.openxmlformats.org/officeDocument/2006/custom-properties" xmlns:vt="http://schemas.openxmlformats.org/officeDocument/2006/docPropsVTypes"/>
</file>