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b/>
          <w:bCs/>
          <w:color w:val="1F3864"/>
          <w:sz w:val="28"/>
          <w:szCs w:val="28"/>
        </w:rPr>
        <w:t xml:space="preserve">Ahlibank Q.P.S.C.</w:t>
      </w:r>
    </w:p>
    <w:p>
      <w:pPr>
        <w:spacing w:after="120"/>
        <w:jc w:val="center"/>
      </w:pPr>
      <w:r>
        <w:rPr>
          <w:rFonts w:ascii="Arial" w:cs="Arial" w:eastAsia="Arial" w:hAnsi="Arial"/>
          <w:b/>
          <w:bCs/>
          <w:sz w:val="32"/>
          <w:szCs w:val="32"/>
        </w:rPr>
        <w:t xml:space="preserve">Credit Appraisal Memorandum</w:t>
      </w:r>
    </w:p>
    <w:p>
      <w:pPr>
        <w:spacing w:after="240"/>
        <w:jc w:val="center"/>
      </w:pPr>
      <w:r>
        <w:rPr>
          <w:rFonts w:ascii="Arial" w:cs="Arial" w:eastAsia="Arial" w:hAnsi="Arial"/>
          <w:sz w:val="22"/>
          <w:szCs w:val="22"/>
        </w:rPr>
        <w:t xml:space="preserve">Private Banking &amp; Wealth Management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Date</w:t>
            </w:r>
          </w:p>
        </w:tc>
        <w:tc>
          <w:tcPr>
            <w:tcW w:type="pct" w:w="70%"/>
            <w:tcMar>
              <w:top w:type="dxa" w:w="40"/>
              <w:left w:type="dxa" w:w="80"/>
              <w:bottom w:type="dxa" w:w="40"/>
              <w:right w:type="dxa" w:w="80"/>
            </w:tcMar>
          </w:tcPr>
          <w:p>
            <w:r>
              <w:rPr>
                <w:rFonts w:ascii="Arial" w:cs="Arial" w:eastAsia="Arial" w:hAnsi="Arial"/>
                <w:sz w:val="18"/>
                <w:szCs w:val="18"/>
              </w:rPr>
              <w:t xml:space="preserve">15 Sept 2026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Ref No.</w:t>
            </w:r>
          </w:p>
        </w:tc>
        <w:tc>
          <w:tcPr>
            <w:tcW w:type="pct" w:w="70%"/>
            <w:tcMar>
              <w:top w:type="dxa" w:w="40"/>
              <w:left w:type="dxa" w:w="80"/>
              <w:bottom w:type="dxa" w:w="40"/>
              <w:right w:type="dxa" w:w="80"/>
            </w:tcMar>
          </w:tcPr>
          <w:p>
            <w:r>
              <w:rPr>
                <w:rFonts w:ascii="Arial" w:cs="Arial" w:eastAsia="Arial" w:hAnsi="Arial"/>
                <w:sz w:val="18"/>
                <w:szCs w:val="18"/>
              </w:rPr>
              <w:t xml:space="preserve">CAM-0008/2026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Client Name</w:t>
            </w:r>
          </w:p>
        </w:tc>
        <w:tc>
          <w:tcPr>
            <w:tcW w:type="pct" w:w="70%"/>
            <w:tcMar>
              <w:top w:type="dxa" w:w="40"/>
              <w:left w:type="dxa" w:w="80"/>
              <w:bottom w:type="dxa" w:w="40"/>
              <w:right w:type="dxa" w:w="80"/>
            </w:tcMar>
          </w:tcPr>
          <w:p>
            <w:r>
              <w:rPr>
                <w:rFonts w:ascii="Arial" w:cs="Arial" w:eastAsia="Arial" w:hAnsi="Arial"/>
                <w:sz w:val="18"/>
                <w:szCs w:val="18"/>
              </w:rPr>
              <w:t xml:space="preserve">Salam International</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Risk Rating</w:t>
            </w:r>
          </w:p>
        </w:tc>
        <w:tc>
          <w:tcPr>
            <w:tcW w:type="pct" w:w="70%"/>
            <w:tcMar>
              <w:top w:type="dxa" w:w="40"/>
              <w:left w:type="dxa" w:w="80"/>
              <w:bottom w:type="dxa" w:w="40"/>
              <w:right w:type="dxa" w:w="80"/>
            </w:tcMar>
          </w:tcPr>
          <w:p>
            <w:r>
              <w:rPr>
                <w:rFonts w:ascii="Arial" w:cs="Arial" w:eastAsia="Arial" w:hAnsi="Arial"/>
                <w:sz w:val="18"/>
                <w:szCs w:val="18"/>
              </w:rPr>
              <w:t xml:space="preserve">R06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 (to be opened)</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Related to Group</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0%"/>
            <w:tcMar>
              <w:top w:type="dxa" w:w="40"/>
              <w:left w:type="dxa" w:w="80"/>
              <w:bottom w:type="dxa" w:w="40"/>
              <w:right w:type="dxa" w:w="80"/>
            </w:tcMar>
          </w:tcPr>
          <w:p>
            <w:pPr>
              <w:spacing w:after="120"/>
              <w:jc w:val="both"/>
            </w:pPr>
            <w:r>
              <w:rPr>
                <w:rFonts w:ascii="Arial" w:cs="Arial" w:eastAsia="Arial" w:hAnsi="Arial"/>
                <w:sz w:val="20"/>
                <w:szCs w:val="20"/>
              </w:rPr>
              <w:t xml:space="preserve">The applicant seeks committee consideration for a proposed demand loan of USD 10,000K, equivalent to QAR 36,500K at the fixed parity of 3.65 (Source: application form). The stated purpose is to create a new facility (Source: application form). [Analyst to confirm: detailed underlying use of proceeds and whether any portion will refinance existing obligations].</w:t>
            </w:r>
          </w:p>
        </w:tc>
      </w:tr>
    </w:tbl>
    <w:p>
      <w:r>
        <w:br w:type="page"/>
      </w:r>
    </w:p>
    <w:p>
      <w:pPr>
        <w:pStyle w:val="Heading1"/>
        <w:spacing w:after="120" w:before="240"/>
      </w:pPr>
      <w:r>
        <w:rPr>
          <w:rFonts w:ascii="Arial" w:cs="Arial" w:eastAsia="Arial" w:hAnsi="Arial"/>
          <w:b/>
          <w:bCs/>
          <w:color w:val="1F3864"/>
          <w:sz w:val="26"/>
          <w:szCs w:val="26"/>
        </w:rPr>
        <w:t xml:space="preserve">Tracking Sheet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Borrower</w:t>
            </w:r>
          </w:p>
        </w:tc>
        <w:tc>
          <w:tcPr>
            <w:tcW w:type="pct" w:w="70%"/>
            <w:tcMar>
              <w:top w:type="dxa" w:w="40"/>
              <w:left w:type="dxa" w:w="80"/>
              <w:bottom w:type="dxa" w:w="40"/>
              <w:right w:type="dxa" w:w="80"/>
            </w:tcMar>
          </w:tcPr>
          <w:p>
            <w:r>
              <w:rPr>
                <w:rFonts w:ascii="Arial" w:cs="Arial" w:eastAsia="Arial" w:hAnsi="Arial"/>
                <w:sz w:val="18"/>
                <w:szCs w:val="18"/>
              </w:rPr>
              <w:t xml:space="preserve">Salam International</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Unit</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Name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Out-Date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Action / Signature</w:t>
            </w:r>
          </w:p>
        </w:tc>
      </w:tr>
      <w:tr>
        <w:tc>
          <w:tcPr>
            <w:tcMar>
              <w:top w:type="dxa" w:w="40"/>
              <w:left w:type="dxa" w:w="80"/>
              <w:bottom w:type="dxa" w:w="40"/>
              <w:right w:type="dxa" w:w="80"/>
            </w:tcMar>
          </w:tcPr>
          <w:p>
            <w:r>
              <w:rPr>
                <w:rFonts w:ascii="Arial" w:cs="Arial" w:eastAsia="Arial" w:hAnsi="Arial"/>
                <w:sz w:val="18"/>
                <w:szCs w:val="18"/>
              </w:rPr>
              <w:t xml:space="preserve">Relationship Manager (Business Unit)</w:t>
            </w:r>
          </w:p>
        </w:tc>
        <w:tc>
          <w:tcPr>
            <w:tcMar>
              <w:top w:type="dxa" w:w="40"/>
              <w:left w:type="dxa" w:w="80"/>
              <w:bottom w:type="dxa" w:w="40"/>
              <w:right w:type="dxa" w:w="80"/>
            </w:tcMar>
          </w:tcPr>
          <w:p>
            <w:r>
              <w:rPr>
                <w:rFonts w:ascii="Arial" w:cs="Arial" w:eastAsia="Arial" w:hAnsi="Arial"/>
                <w:sz w:val="18"/>
                <w:szCs w:val="18"/>
              </w:rPr>
              <w:t xml:space="preserve">Person 6</w:t>
            </w:r>
          </w:p>
        </w:tc>
        <w:tc>
          <w:tcPr>
            <w:tcMar>
              <w:top w:type="dxa" w:w="40"/>
              <w:left w:type="dxa" w:w="80"/>
              <w:bottom w:type="dxa" w:w="40"/>
              <w:right w:type="dxa" w:w="80"/>
            </w:tcMar>
          </w:tcPr>
          <w:p>
            <w:r>
              <w:rPr>
                <w:rFonts w:ascii="Arial" w:cs="Arial" w:eastAsia="Arial" w:hAnsi="Arial"/>
                <w:sz w:val="18"/>
                <w:szCs w:val="18"/>
              </w:rPr>
              <w:t xml:space="preserve">15 Sept 2026 11:17</w:t>
            </w:r>
          </w:p>
        </w:tc>
        <w:tc>
          <w:tcPr>
            <w:tcMar>
              <w:top w:type="dxa" w:w="40"/>
              <w:left w:type="dxa" w:w="80"/>
              <w:bottom w:type="dxa" w:w="40"/>
              <w:right w:type="dxa" w:w="80"/>
            </w:tcMar>
          </w:tcPr>
          <w:p>
            <w:r>
              <w:rPr>
                <w:rFonts w:ascii="Arial" w:cs="Arial" w:eastAsia="Arial" w:hAnsi="Arial"/>
                <w:sz w:val="18"/>
                <w:szCs w:val="18"/>
              </w:rPr>
              <w:t xml:space="preserve">submit → CAM Preparation — So stage 1 is complete, only the sanctions check is pending. We have sent it to the Bureau of Investigation and we'll get the answer back in a week.</w:t>
            </w:r>
          </w:p>
        </w:tc>
      </w:tr>
      <w:tr>
        <w:tc>
          <w:tcPr>
            <w:tcMar>
              <w:top w:type="dxa" w:w="40"/>
              <w:left w:type="dxa" w:w="80"/>
              <w:bottom w:type="dxa" w:w="40"/>
              <w:right w:type="dxa" w:w="80"/>
            </w:tcMar>
          </w:tcPr>
          <w:p>
            <w:r>
              <w:rPr>
                <w:rFonts w:ascii="Arial" w:cs="Arial" w:eastAsia="Arial" w:hAnsi="Arial"/>
                <w:sz w:val="18"/>
                <w:szCs w:val="18"/>
              </w:rPr>
              <w:t xml:space="preserve">Business Unit analyst (Preparer)</w:t>
            </w:r>
          </w:p>
        </w:tc>
        <w:tc>
          <w:tcPr>
            <w:tcMar>
              <w:top w:type="dxa" w:w="40"/>
              <w:left w:type="dxa" w:w="80"/>
              <w:bottom w:type="dxa" w:w="40"/>
              <w:right w:type="dxa" w:w="80"/>
            </w:tcMar>
          </w:tcPr>
          <w:p>
            <w:r>
              <w:rPr>
                <w:rFonts w:ascii="Arial" w:cs="Arial" w:eastAsia="Arial" w:hAnsi="Arial"/>
                <w:sz w:val="18"/>
                <w:szCs w:val="18"/>
              </w:rPr>
              <w:t xml:space="preserve">Person 6</w:t>
            </w:r>
          </w:p>
        </w:tc>
        <w:tc>
          <w:tcPr>
            <w:tcMar>
              <w:top w:type="dxa" w:w="40"/>
              <w:left w:type="dxa" w:w="80"/>
              <w:bottom w:type="dxa" w:w="40"/>
              <w:right w:type="dxa" w:w="80"/>
            </w:tcMar>
          </w:tcPr>
          <w:p>
            <w:r>
              <w:rPr>
                <w:rFonts w:ascii="Arial" w:cs="Arial" w:eastAsia="Arial" w:hAnsi="Arial"/>
                <w:sz w:val="18"/>
                <w:szCs w:val="18"/>
              </w:rPr>
              <w:t xml:space="preserve">15 Sept 2026 11:27</w:t>
            </w:r>
          </w:p>
        </w:tc>
        <w:tc>
          <w:tcPr>
            <w:tcMar>
              <w:top w:type="dxa" w:w="40"/>
              <w:left w:type="dxa" w:w="80"/>
              <w:bottom w:type="dxa" w:w="40"/>
              <w:right w:type="dxa" w:w="80"/>
            </w:tcMar>
          </w:tcPr>
          <w:p>
            <w:r>
              <w:rPr>
                <w:rFonts w:ascii="Arial" w:cs="Arial" w:eastAsia="Arial" w:hAnsi="Arial"/>
                <w:sz w:val="18"/>
                <w:szCs w:val="18"/>
              </w:rPr>
              <w:t xml:space="preserve">submit → Business Sign-off</w:t>
            </w:r>
          </w:p>
        </w:tc>
      </w:tr>
      <w:tr>
        <w:tc>
          <w:tcPr>
            <w:tcMar>
              <w:top w:type="dxa" w:w="40"/>
              <w:left w:type="dxa" w:w="80"/>
              <w:bottom w:type="dxa" w:w="40"/>
              <w:right w:type="dxa" w:w="80"/>
            </w:tcMar>
          </w:tcPr>
          <w:p>
            <w:r>
              <w:rPr>
                <w:rFonts w:ascii="Arial" w:cs="Arial" w:eastAsia="Arial" w:hAnsi="Arial"/>
                <w:sz w:val="18"/>
                <w:szCs w:val="18"/>
              </w:rPr>
              <w:t xml:space="preserve">BU management (Recommender → Concurrer)</w:t>
            </w:r>
          </w:p>
        </w:tc>
        <w:tc>
          <w:tcPr>
            <w:tcMar>
              <w:top w:type="dxa" w:w="40"/>
              <w:left w:type="dxa" w:w="80"/>
              <w:bottom w:type="dxa" w:w="40"/>
              <w:right w:type="dxa" w:w="80"/>
            </w:tcMar>
          </w:tcPr>
          <w:p>
            <w:r>
              <w:rPr>
                <w:rFonts w:ascii="Arial" w:cs="Arial" w:eastAsia="Arial" w:hAnsi="Arial"/>
                <w:sz w:val="18"/>
                <w:szCs w:val="18"/>
              </w:rPr>
              <w:t xml:space="preserve">Person 2</w:t>
            </w:r>
          </w:p>
        </w:tc>
        <w:tc>
          <w:tcPr>
            <w:tcMar>
              <w:top w:type="dxa" w:w="40"/>
              <w:left w:type="dxa" w:w="80"/>
              <w:bottom w:type="dxa" w:w="40"/>
              <w:right w:type="dxa" w:w="80"/>
            </w:tcMar>
          </w:tcPr>
          <w:p>
            <w:r>
              <w:rPr>
                <w:rFonts w:ascii="Arial" w:cs="Arial" w:eastAsia="Arial" w:hAnsi="Arial"/>
                <w:sz w:val="18"/>
                <w:szCs w:val="18"/>
              </w:rPr>
              <w:t xml:space="preserve">15 Sept 2026 11:28</w:t>
            </w:r>
          </w:p>
        </w:tc>
        <w:tc>
          <w:tcPr>
            <w:tcMar>
              <w:top w:type="dxa" w:w="40"/>
              <w:left w:type="dxa" w:w="80"/>
              <w:bottom w:type="dxa" w:w="40"/>
              <w:right w:type="dxa" w:w="80"/>
            </w:tcMar>
          </w:tcPr>
          <w:p>
            <w:r>
              <w:rPr>
                <w:rFonts w:ascii="Arial" w:cs="Arial" w:eastAsia="Arial" w:hAnsi="Arial"/>
                <w:sz w:val="18"/>
                <w:szCs w:val="18"/>
              </w:rPr>
              <w:t xml:space="preserve">pass → Credit Admin Control</w:t>
            </w:r>
          </w:p>
        </w:tc>
      </w:tr>
      <w:tr>
        <w:tc>
          <w:tcPr>
            <w:tcMar>
              <w:top w:type="dxa" w:w="40"/>
              <w:left w:type="dxa" w:w="80"/>
              <w:bottom w:type="dxa" w:w="40"/>
              <w:right w:type="dxa" w:w="80"/>
            </w:tcMar>
          </w:tcPr>
          <w:p>
            <w:r>
              <w:rPr>
                <w:rFonts w:ascii="Arial" w:cs="Arial" w:eastAsia="Arial" w:hAnsi="Arial"/>
                <w:sz w:val="18"/>
                <w:szCs w:val="18"/>
              </w:rPr>
              <w:t xml:space="preserve">Corporate Credit Administration</w:t>
            </w:r>
          </w:p>
        </w:tc>
        <w:tc>
          <w:tcPr>
            <w:tcMar>
              <w:top w:type="dxa" w:w="40"/>
              <w:left w:type="dxa" w:w="80"/>
              <w:bottom w:type="dxa" w:w="40"/>
              <w:right w:type="dxa" w:w="80"/>
            </w:tcMar>
          </w:tcPr>
          <w:p>
            <w:r>
              <w:rPr>
                <w:rFonts w:ascii="Arial" w:cs="Arial" w:eastAsia="Arial" w:hAnsi="Arial"/>
                <w:sz w:val="18"/>
                <w:szCs w:val="18"/>
              </w:rPr>
              <w:t xml:space="preserve">Person 3</w:t>
            </w:r>
          </w:p>
        </w:tc>
        <w:tc>
          <w:tcPr>
            <w:tcMar>
              <w:top w:type="dxa" w:w="40"/>
              <w:left w:type="dxa" w:w="80"/>
              <w:bottom w:type="dxa" w:w="40"/>
              <w:right w:type="dxa" w:w="80"/>
            </w:tcMar>
          </w:tcPr>
          <w:p>
            <w:r>
              <w:rPr>
                <w:rFonts w:ascii="Arial" w:cs="Arial" w:eastAsia="Arial" w:hAnsi="Arial"/>
                <w:sz w:val="18"/>
                <w:szCs w:val="18"/>
              </w:rPr>
              <w:t xml:space="preserve">15 Sept 2026 11:30</w:t>
            </w:r>
          </w:p>
        </w:tc>
        <w:tc>
          <w:tcPr>
            <w:tcMar>
              <w:top w:type="dxa" w:w="40"/>
              <w:left w:type="dxa" w:w="80"/>
              <w:bottom w:type="dxa" w:w="40"/>
              <w:right w:type="dxa" w:w="80"/>
            </w:tcMar>
          </w:tcPr>
          <w:p>
            <w:r>
              <w:rPr>
                <w:rFonts w:ascii="Arial" w:cs="Arial" w:eastAsia="Arial" w:hAnsi="Arial"/>
                <w:sz w:val="18"/>
                <w:szCs w:val="18"/>
              </w:rPr>
              <w:t xml:space="preserve">pass → Independent Risk Review</w:t>
            </w:r>
          </w:p>
        </w:tc>
      </w:tr>
      <w:tr>
        <w:tc>
          <w:tcPr>
            <w:tcMar>
              <w:top w:type="dxa" w:w="40"/>
              <w:left w:type="dxa" w:w="80"/>
              <w:bottom w:type="dxa" w:w="40"/>
              <w:right w:type="dxa" w:w="80"/>
            </w:tcMar>
          </w:tcPr>
          <w:p>
            <w:r>
              <w:rPr>
                <w:rFonts w:ascii="Arial" w:cs="Arial" w:eastAsia="Arial" w:hAnsi="Arial"/>
                <w:sz w:val="18"/>
                <w:szCs w:val="18"/>
              </w:rPr>
              <w:t xml:space="preserve">Risk Management</w:t>
            </w:r>
          </w:p>
        </w:tc>
        <w:tc>
          <w:tcPr>
            <w:tcMar>
              <w:top w:type="dxa" w:w="40"/>
              <w:left w:type="dxa" w:w="80"/>
              <w:bottom w:type="dxa" w:w="40"/>
              <w:right w:type="dxa" w:w="80"/>
            </w:tcMar>
          </w:tcPr>
          <w:p>
            <w:r>
              <w:rPr>
                <w:rFonts w:ascii="Arial" w:cs="Arial" w:eastAsia="Arial" w:hAnsi="Arial"/>
                <w:sz w:val="18"/>
                <w:szCs w:val="18"/>
              </w:rPr>
              <w:t xml:space="preserve">Person 2</w:t>
            </w:r>
          </w:p>
        </w:tc>
        <w:tc>
          <w:tcPr>
            <w:tcMar>
              <w:top w:type="dxa" w:w="40"/>
              <w:left w:type="dxa" w:w="80"/>
              <w:bottom w:type="dxa" w:w="40"/>
              <w:right w:type="dxa" w:w="80"/>
            </w:tcMar>
          </w:tcPr>
          <w:p>
            <w:r>
              <w:rPr>
                <w:rFonts w:ascii="Arial" w:cs="Arial" w:eastAsia="Arial" w:hAnsi="Arial"/>
                <w:sz w:val="18"/>
                <w:szCs w:val="18"/>
              </w:rPr>
              <w:t xml:space="preserve">15 Sept 2026 11:32</w:t>
            </w:r>
          </w:p>
        </w:tc>
        <w:tc>
          <w:tcPr>
            <w:tcMar>
              <w:top w:type="dxa" w:w="40"/>
              <w:left w:type="dxa" w:w="80"/>
              <w:bottom w:type="dxa" w:w="40"/>
              <w:right w:type="dxa" w:w="80"/>
            </w:tcMar>
          </w:tcPr>
          <w:p>
            <w:r>
              <w:rPr>
                <w:rFonts w:ascii="Arial" w:cs="Arial" w:eastAsia="Arial" w:hAnsi="Arial"/>
                <w:sz w:val="18"/>
                <w:szCs w:val="18"/>
              </w:rPr>
              <w:t xml:space="preserve">pass → Committee Approval — [GATE OVERRIDE] forced past 1 blocker(s) by Person 2 — Risk Management must validate or override the risk rating</w:t>
            </w:r>
          </w:p>
        </w:tc>
      </w:tr>
    </w:tbl>
    <w:p>
      <w:pPr>
        <w:spacing w:after="60"/>
      </w:pPr>
      <w:r>
        <w:rPr>
          <w:rFonts w:ascii="Arial" w:cs="Arial" w:eastAsia="Arial" w:hAnsi="Arial"/>
          <w:sz w:val="20"/>
          <w:szCs w:val="20"/>
        </w:rPr>
        <w:t xml:space="preserve"/>
      </w:r>
    </w:p>
    <w:p>
      <w:pPr>
        <w:spacing w:after="120"/>
      </w:pPr>
      <w:r>
        <w:rPr>
          <w:rFonts w:ascii="Arial" w:cs="Arial" w:eastAsia="Arial" w:hAnsi="Arial"/>
          <w:b/>
          <w:bCs/>
          <w:sz w:val="20"/>
          <w:szCs w:val="20"/>
        </w:rPr>
        <w:t xml:space="preserve">Approval: Level 1</w:t>
      </w:r>
    </w:p>
    <w:p>
      <w:r>
        <w:br w:type="page"/>
      </w:r>
    </w:p>
    <w:p>
      <w:pPr>
        <w:pStyle w:val="Heading1"/>
        <w:spacing w:after="120" w:before="240"/>
      </w:pPr>
      <w:r>
        <w:rPr>
          <w:rFonts w:ascii="Arial" w:cs="Arial" w:eastAsia="Arial" w:hAnsi="Arial"/>
          <w:b/>
          <w:bCs/>
          <w:color w:val="1F3864"/>
          <w:sz w:val="26"/>
          <w:szCs w:val="26"/>
        </w:rPr>
        <w:t xml:space="preserve">Approval</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Borrower</w:t>
            </w:r>
          </w:p>
        </w:tc>
        <w:tc>
          <w:tcPr>
            <w:tcW w:type="pct" w:w="70%"/>
            <w:tcMar>
              <w:top w:type="dxa" w:w="40"/>
              <w:left w:type="dxa" w:w="80"/>
              <w:bottom w:type="dxa" w:w="40"/>
              <w:right w:type="dxa" w:w="80"/>
            </w:tcMar>
          </w:tcPr>
          <w:p>
            <w:r>
              <w:rPr>
                <w:rFonts w:ascii="Arial" w:cs="Arial" w:eastAsia="Arial" w:hAnsi="Arial"/>
                <w:sz w:val="18"/>
                <w:szCs w:val="18"/>
              </w:rPr>
              <w:t xml:space="preserve">Salam International</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Risk Rating</w:t>
            </w:r>
          </w:p>
        </w:tc>
        <w:tc>
          <w:tcPr>
            <w:tcW w:type="pct" w:w="70%"/>
            <w:tcMar>
              <w:top w:type="dxa" w:w="40"/>
              <w:left w:type="dxa" w:w="80"/>
              <w:bottom w:type="dxa" w:w="40"/>
              <w:right w:type="dxa" w:w="80"/>
            </w:tcMar>
          </w:tcPr>
          <w:p>
            <w:r>
              <w:rPr>
                <w:rFonts w:ascii="Arial" w:cs="Arial" w:eastAsia="Arial" w:hAnsi="Arial"/>
                <w:sz w:val="18"/>
                <w:szCs w:val="18"/>
              </w:rPr>
              <w:t xml:space="preserve">R06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0%"/>
            <w:tcMar>
              <w:top w:type="dxa" w:w="40"/>
              <w:left w:type="dxa" w:w="80"/>
              <w:bottom w:type="dxa" w:w="40"/>
              <w:right w:type="dxa" w:w="80"/>
            </w:tcMar>
          </w:tcPr>
          <w:p>
            <w:r>
              <w:rPr>
                <w:rFonts w:ascii="Arial" w:cs="Arial" w:eastAsia="Arial" w:hAnsi="Arial"/>
                <w:sz w:val="18"/>
                <w:szCs w:val="18"/>
              </w:rPr>
              <w:t xml:space="preserve">Create a new facilty</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gridSpan w:val="2"/>
            <w:shd w:fill="D9D9D9" w:color="auto" w:val="clear"/>
            <w:tcMar>
              <w:top w:type="dxa" w:w="40"/>
              <w:left w:type="dxa" w:w="80"/>
              <w:bottom w:type="dxa" w:w="40"/>
              <w:right w:type="dxa" w:w="80"/>
            </w:tcMar>
          </w:tcPr>
          <w:p>
            <w:r>
              <w:rPr>
                <w:rFonts w:ascii="Arial" w:cs="Arial" w:eastAsia="Arial" w:hAnsi="Arial"/>
                <w:b/>
                <w:bCs/>
                <w:sz w:val="18"/>
                <w:szCs w:val="18"/>
              </w:rPr>
              <w:t xml:space="preserve">Level 2 — Recommenders</w:t>
            </w:r>
          </w:p>
        </w:tc>
      </w:tr>
      <w:tr>
        <w:tc>
          <w:tcPr>
            <w:tcMar>
              <w:top w:type="dxa" w:w="40"/>
              <w:left w:type="dxa" w:w="80"/>
              <w:bottom w:type="dxa" w:w="40"/>
              <w:right w:type="dxa" w:w="80"/>
            </w:tcMar>
          </w:tcPr>
          <w:p>
            <w:r>
              <w:rPr>
                <w:rFonts w:ascii="Arial" w:cs="Arial" w:eastAsia="Arial" w:hAnsi="Arial"/>
                <w:sz w:val="18"/>
                <w:szCs w:val="18"/>
              </w:rPr>
              <w:t xml:space="preserve">Person 2
Head of Private Banking
15 Sept 2026</w:t>
            </w:r>
          </w:p>
        </w:tc>
        <w:tc>
          <w:tcPr>
            <w:tcMar>
              <w:top w:type="dxa" w:w="40"/>
              <w:left w:type="dxa" w:w="80"/>
              <w:bottom w:type="dxa" w:w="40"/>
              <w:right w:type="dxa" w:w="80"/>
            </w:tcMar>
          </w:tcPr>
          <w:p>
            <w:r>
              <w:rPr>
                <w:rFonts w:ascii="Arial" w:cs="Arial" w:eastAsia="Arial" w:hAnsi="Arial"/>
                <w:sz w:val="18"/>
                <w:szCs w:val="18"/>
              </w:rPr>
              <w:t xml:space="preserve">Person 3
Senior Credit Administrator
15 Sept 2026</w:t>
            </w:r>
          </w:p>
        </w:tc>
      </w:tr>
      <w:tr>
        <w:tc>
          <w:tcPr>
            <w:gridSpan w:val="2"/>
            <w:shd w:fill="D9D9D9" w:color="auto" w:val="clear"/>
            <w:tcMar>
              <w:top w:type="dxa" w:w="40"/>
              <w:left w:type="dxa" w:w="80"/>
              <w:bottom w:type="dxa" w:w="40"/>
              <w:right w:type="dxa" w:w="80"/>
            </w:tcMar>
          </w:tcPr>
          <w:p>
            <w:r>
              <w:rPr>
                <w:rFonts w:ascii="Arial" w:cs="Arial" w:eastAsia="Arial" w:hAnsi="Arial"/>
                <w:b/>
                <w:bCs/>
                <w:sz w:val="18"/>
                <w:szCs w:val="18"/>
              </w:rPr>
              <w:t xml:space="preserve">Level 1 — Approvers</w:t>
            </w:r>
          </w:p>
        </w:tc>
      </w:tr>
      <w:tr>
        <w:tc>
          <w:tcPr>
            <w:tcMar>
              <w:top w:type="dxa" w:w="40"/>
              <w:left w:type="dxa" w:w="80"/>
              <w:bottom w:type="dxa" w:w="40"/>
              <w:right w:type="dxa" w:w="80"/>
            </w:tcMar>
          </w:tcPr>
          <w:p>
            <w:r>
              <w:rPr>
                <w:rFonts w:ascii="Arial" w:cs="Arial" w:eastAsia="Arial" w:hAnsi="Arial"/>
                <w:sz w:val="18"/>
                <w:szCs w:val="18"/>
              </w:rPr>
              <w:t xml:space="preserve">Person 4
Head of Credit Risk
15 Sept 2026</w:t>
            </w:r>
          </w:p>
        </w:tc>
        <w:tc>
          <w:tcPr>
            <w:tcMar>
              <w:top w:type="dxa" w:w="40"/>
              <w:left w:type="dxa" w:w="80"/>
              <w:bottom w:type="dxa" w:w="40"/>
              <w:right w:type="dxa" w:w="80"/>
            </w:tcMar>
          </w:tcPr>
          <w:p>
            <w:r>
              <w:rPr>
                <w:rFonts w:ascii="Arial" w:cs="Arial" w:eastAsia="Arial" w:hAnsi="Arial"/>
                <w:sz w:val="18"/>
                <w:szCs w:val="18"/>
              </w:rPr>
              <w:t xml:space="preserve"/>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Committee member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Designation</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Approved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Declined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Comment</w:t>
            </w:r>
          </w:p>
        </w:tc>
      </w:tr>
      <w:tr>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pPr>
              <w:jc w:val="center"/>
            </w:pPr>
            <w:r>
              <w:rPr>
                <w:rFonts w:ascii="Arial" w:cs="Arial" w:eastAsia="Arial" w:hAnsi="Arial"/>
                <w:sz w:val="18"/>
                <w:szCs w:val="18"/>
              </w:rPr>
              <w:t xml:space="preserve"/>
            </w:r>
          </w:p>
        </w:tc>
        <w:tc>
          <w:tcPr>
            <w:tcMar>
              <w:top w:type="dxa" w:w="40"/>
              <w:left w:type="dxa" w:w="80"/>
              <w:bottom w:type="dxa" w:w="40"/>
              <w:right w:type="dxa" w:w="80"/>
            </w:tcMar>
          </w:tcPr>
          <w:p>
            <w:pPr>
              <w:jc w:val="center"/>
            </w:pPr>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bl>
    <w:p>
      <w:r>
        <w:br w:type="page"/>
      </w:r>
    </w:p>
    <w:p>
      <w:pPr>
        <w:pStyle w:val="Heading1"/>
        <w:spacing w:after="120" w:before="240"/>
      </w:pPr>
      <w:r>
        <w:rPr>
          <w:rFonts w:ascii="Arial" w:cs="Arial" w:eastAsia="Arial" w:hAnsi="Arial"/>
          <w:b/>
          <w:bCs/>
          <w:color w:val="1F3864"/>
          <w:sz w:val="26"/>
          <w:szCs w:val="26"/>
        </w:rPr>
        <w:t xml:space="preserve">Facility Limit Summary</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Group Name</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Relationship Manager</w:t>
            </w:r>
          </w:p>
        </w:tc>
        <w:tc>
          <w:tcPr>
            <w:tcW w:type="pct" w:w="70%"/>
            <w:tcMar>
              <w:top w:type="dxa" w:w="40"/>
              <w:left w:type="dxa" w:w="80"/>
              <w:bottom w:type="dxa" w:w="40"/>
              <w:right w:type="dxa" w:w="80"/>
            </w:tcMar>
          </w:tcPr>
          <w:p>
            <w:r>
              <w:rPr>
                <w:rFonts w:ascii="Arial" w:cs="Arial" w:eastAsia="Arial" w:hAnsi="Arial"/>
                <w:sz w:val="18"/>
                <w:szCs w:val="18"/>
              </w:rPr>
              <w:t xml:space="preserve">Person 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Department</w:t>
            </w:r>
          </w:p>
        </w:tc>
        <w:tc>
          <w:tcPr>
            <w:tcW w:type="pct" w:w="70%"/>
            <w:tcMar>
              <w:top w:type="dxa" w:w="40"/>
              <w:left w:type="dxa" w:w="80"/>
              <w:bottom w:type="dxa" w:w="40"/>
              <w:right w:type="dxa" w:w="80"/>
            </w:tcMar>
          </w:tcPr>
          <w:p>
            <w:r>
              <w:rPr>
                <w:rFonts w:ascii="Arial" w:cs="Arial" w:eastAsia="Arial" w:hAnsi="Arial"/>
                <w:sz w:val="18"/>
                <w:szCs w:val="18"/>
              </w:rPr>
              <w:t xml:space="preserve">Private Banking &amp; Wealth Management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Submitted by</w:t>
            </w:r>
          </w:p>
        </w:tc>
        <w:tc>
          <w:tcPr>
            <w:tcW w:type="pct" w:w="70%"/>
            <w:tcMar>
              <w:top w:type="dxa" w:w="40"/>
              <w:left w:type="dxa" w:w="80"/>
              <w:bottom w:type="dxa" w:w="40"/>
              <w:right w:type="dxa" w:w="80"/>
            </w:tcMar>
          </w:tcPr>
          <w:p>
            <w:r>
              <w:rPr>
                <w:rFonts w:ascii="Arial" w:cs="Arial" w:eastAsia="Arial" w:hAnsi="Arial"/>
                <w:sz w:val="18"/>
                <w:szCs w:val="18"/>
              </w:rPr>
              <w:t xml:space="preserve">Operations</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ROCE %</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Limit % of Capital Base</w:t>
            </w:r>
          </w:p>
        </w:tc>
        <w:tc>
          <w:tcPr>
            <w:tcW w:type="pct" w:w="70%"/>
            <w:tcMar>
              <w:top w:type="dxa" w:w="40"/>
              <w:left w:type="dxa" w:w="80"/>
              <w:bottom w:type="dxa" w:w="40"/>
              <w:right w:type="dxa" w:w="80"/>
            </w:tcMar>
          </w:tcPr>
          <w:p>
            <w:r>
              <w:rPr>
                <w:rFonts w:ascii="Arial" w:cs="Arial" w:eastAsia="Arial" w:hAnsi="Arial"/>
                <w:sz w:val="18"/>
                <w:szCs w:val="18"/>
              </w:rPr>
              <w:t xml:space="preserve">0.46%</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Borrower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Account No</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RR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Domicile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Industry / Sector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 Type</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Salam International</w:t>
            </w:r>
          </w:p>
        </w:tc>
        <w:tc>
          <w:tcPr>
            <w:tcMar>
              <w:top w:type="dxa" w:w="40"/>
              <w:left w:type="dxa" w:w="80"/>
              <w:bottom w:type="dxa" w:w="40"/>
              <w:right w:type="dxa" w:w="80"/>
            </w:tcMar>
          </w:tcPr>
          <w:p>
            <w:r>
              <w:rPr>
                <w:rFonts w:ascii="Arial" w:cs="Arial" w:eastAsia="Arial" w:hAnsi="Arial"/>
                <w:sz w:val="18"/>
                <w:szCs w:val="18"/>
              </w:rPr>
              <w:t xml:space="preserve">New</w:t>
            </w:r>
          </w:p>
        </w:tc>
        <w:tc>
          <w:tcPr>
            <w:tcMar>
              <w:top w:type="dxa" w:w="40"/>
              <w:left w:type="dxa" w:w="80"/>
              <w:bottom w:type="dxa" w:w="40"/>
              <w:right w:type="dxa" w:w="80"/>
            </w:tcMar>
          </w:tcPr>
          <w:p>
            <w:r>
              <w:rPr>
                <w:rFonts w:ascii="Arial" w:cs="Arial" w:eastAsia="Arial" w:hAnsi="Arial"/>
                <w:sz w:val="18"/>
                <w:szCs w:val="18"/>
              </w:rPr>
              <w:t xml:space="preserve">R06</w:t>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bl>
    <w:p>
      <w:pPr>
        <w:spacing w:after="120"/>
      </w:pPr>
      <w:r>
        <w:rPr>
          <w:rFonts w:ascii="Arial" w:cs="Arial" w:eastAsia="Arial" w:hAnsi="Arial"/>
          <w:i/>
          <w:iCs/>
          <w:color w:val="595959"/>
          <w:sz w:val="16"/>
          <w:szCs w:val="16"/>
        </w:rPr>
        <w:t xml:space="preserve">Figures in QAR 000's — USD converted at parity 3.65</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Facility type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Existing</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Proposed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Change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O/s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Pricing</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Collateral</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Demand Loan</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pPr>
              <w:jc w:val="right"/>
            </w:pPr>
            <w:r>
              <w:rPr>
                <w:rFonts w:ascii="Arial" w:cs="Arial" w:eastAsia="Arial" w:hAnsi="Arial"/>
                <w:sz w:val="18"/>
                <w:szCs w:val="18"/>
              </w:rPr>
              <w:t xml:space="preserve">36,500</w:t>
            </w:r>
          </w:p>
        </w:tc>
        <w:tc>
          <w:tcPr>
            <w:tcMar>
              <w:top w:type="dxa" w:w="40"/>
              <w:left w:type="dxa" w:w="80"/>
              <w:bottom w:type="dxa" w:w="40"/>
              <w:right w:type="dxa" w:w="80"/>
            </w:tcMar>
          </w:tcPr>
          <w:p>
            <w:pPr>
              <w:jc w:val="right"/>
            </w:pPr>
            <w:r>
              <w:rPr>
                <w:rFonts w:ascii="Arial" w:cs="Arial" w:eastAsia="Arial" w:hAnsi="Arial"/>
                <w:sz w:val="18"/>
                <w:szCs w:val="18"/>
              </w:rPr>
              <w:t xml:space="preserve">36,500</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r>
        <w:tc>
          <w:tcPr>
            <w:gridSpan w:val="3"/>
            <w:shd w:fill="F2F2F2" w:color="auto" w:val="clear"/>
            <w:tcMar>
              <w:top w:type="dxa" w:w="40"/>
              <w:left w:type="dxa" w:w="80"/>
              <w:bottom w:type="dxa" w:w="40"/>
              <w:right w:type="dxa" w:w="80"/>
            </w:tcMar>
          </w:tcPr>
          <w:p>
            <w:r>
              <w:rPr>
                <w:rFonts w:ascii="Arial" w:cs="Arial" w:eastAsia="Arial" w:hAnsi="Arial"/>
                <w:b/>
                <w:bCs/>
                <w:sz w:val="18"/>
                <w:szCs w:val="18"/>
              </w:rPr>
              <w:t xml:space="preserve">SUB-TOTAL</w:t>
            </w:r>
          </w:p>
        </w:tc>
        <w:tc>
          <w:tcPr>
            <w:shd w:fill="F2F2F2" w:color="auto" w:val="clear"/>
            <w:tcMar>
              <w:top w:type="dxa" w:w="40"/>
              <w:left w:type="dxa" w:w="80"/>
              <w:bottom w:type="dxa" w:w="40"/>
              <w:right w:type="dxa" w:w="80"/>
            </w:tcMar>
          </w:tcPr>
          <w:p>
            <w:pPr>
              <w:jc w:val="right"/>
            </w:pPr>
            <w:r>
              <w:rPr>
                <w:rFonts w:ascii="Arial" w:cs="Arial" w:eastAsia="Arial" w:hAnsi="Arial"/>
                <w:b/>
                <w:bCs/>
                <w:sz w:val="18"/>
                <w:szCs w:val="18"/>
              </w:rPr>
              <w:t xml:space="preserve">36,500</w:t>
            </w:r>
          </w:p>
        </w:tc>
        <w:tc>
          <w:tcPr>
            <w:gridSpan w:val="2"/>
            <w:shd w:fill="F2F2F2" w:color="auto" w:val="clear"/>
            <w:tcMar>
              <w:top w:type="dxa" w:w="40"/>
              <w:left w:type="dxa" w:w="80"/>
              <w:bottom w:type="dxa" w:w="40"/>
              <w:right w:type="dxa" w:w="80"/>
            </w:tcMar>
          </w:tcPr>
          <w:p>
            <w:r>
              <w:rPr>
                <w:rFonts w:ascii="Arial" w:cs="Arial" w:eastAsia="Arial" w:hAnsi="Arial"/>
                <w:sz w:val="18"/>
                <w:szCs w:val="18"/>
              </w:rPr>
              <w:t xml:space="preserve">Limit expiry: —</w:t>
            </w:r>
          </w:p>
        </w:tc>
        <w:tc>
          <w:tcPr>
            <w:gridSpan w:val="2"/>
            <w:shd w:fill="F2F2F2" w:color="auto" w:val="clear"/>
            <w:tcMar>
              <w:top w:type="dxa" w:w="40"/>
              <w:left w:type="dxa" w:w="80"/>
              <w:bottom w:type="dxa" w:w="40"/>
              <w:right w:type="dxa" w:w="80"/>
            </w:tcMar>
          </w:tcPr>
          <w:p>
            <w:r>
              <w:rPr>
                <w:rFonts w:ascii="Arial" w:cs="Arial" w:eastAsia="Arial" w:hAnsi="Arial"/>
                <w:sz w:val="18"/>
                <w:szCs w:val="18"/>
              </w:rPr>
              <w:t xml:space="preserve">Large Exposure: N   Related Director: N</w:t>
            </w:r>
          </w:p>
        </w:tc>
      </w:tr>
      <w:tr>
        <w:tc>
          <w:tcPr>
            <w:gridSpan w:val="3"/>
            <w:tcMar>
              <w:top w:type="dxa" w:w="40"/>
              <w:left w:type="dxa" w:w="80"/>
              <w:bottom w:type="dxa" w:w="40"/>
              <w:right w:type="dxa" w:w="80"/>
            </w:tcMar>
          </w:tcPr>
          <w:p>
            <w:r>
              <w:rPr>
                <w:rFonts w:ascii="Arial" w:cs="Arial" w:eastAsia="Arial" w:hAnsi="Arial"/>
                <w:b/>
                <w:bCs/>
                <w:sz w:val="18"/>
                <w:szCs w:val="18"/>
              </w:rPr>
              <w:t xml:space="preserve">RELATED EXPOSURE</w:t>
            </w:r>
          </w:p>
        </w:tc>
        <w:tc>
          <w:tcPr>
            <w:tcMar>
              <w:top w:type="dxa" w:w="40"/>
              <w:left w:type="dxa" w:w="80"/>
              <w:bottom w:type="dxa" w:w="40"/>
              <w:right w:type="dxa" w:w="80"/>
            </w:tcMar>
          </w:tcPr>
          <w:p>
            <w:pPr>
              <w:jc w:val="right"/>
            </w:pPr>
            <w:r>
              <w:rPr>
                <w:rFonts w:ascii="Arial" w:cs="Arial" w:eastAsia="Arial" w:hAnsi="Arial"/>
                <w:sz w:val="18"/>
                <w:szCs w:val="18"/>
              </w:rPr>
              <w:t xml:space="preserve">NIL</w:t>
            </w:r>
          </w:p>
        </w:tc>
        <w:tc>
          <w:tcPr>
            <w:gridSpan w:val="4"/>
            <w:tcMar>
              <w:top w:type="dxa" w:w="40"/>
              <w:left w:type="dxa" w:w="80"/>
              <w:bottom w:type="dxa" w:w="40"/>
              <w:right w:type="dxa" w:w="80"/>
            </w:tcMar>
          </w:tcPr>
          <w:p>
            <w:r>
              <w:rPr>
                <w:rFonts w:ascii="Arial" w:cs="Arial" w:eastAsia="Arial" w:hAnsi="Arial"/>
                <w:sz w:val="18"/>
                <w:szCs w:val="18"/>
              </w:rPr>
              <w:t xml:space="preserve"/>
            </w:r>
          </w:p>
        </w:tc>
      </w:tr>
      <w:tr>
        <w:tc>
          <w:tcPr>
            <w:gridSpan w:val="3"/>
            <w:shd w:fill="D9D9D9" w:color="auto" w:val="clear"/>
            <w:tcMar>
              <w:top w:type="dxa" w:w="40"/>
              <w:left w:type="dxa" w:w="80"/>
              <w:bottom w:type="dxa" w:w="40"/>
              <w:right w:type="dxa" w:w="80"/>
            </w:tcMar>
          </w:tcPr>
          <w:p>
            <w:r>
              <w:rPr>
                <w:rFonts w:ascii="Arial" w:cs="Arial" w:eastAsia="Arial" w:hAnsi="Arial"/>
                <w:b/>
                <w:bCs/>
                <w:sz w:val="18"/>
                <w:szCs w:val="18"/>
              </w:rPr>
              <w:t xml:space="preserve">GRAND TOTAL</w:t>
            </w:r>
          </w:p>
        </w:tc>
        <w:tc>
          <w:tcPr>
            <w:shd w:fill="D9D9D9" w:color="auto" w:val="clear"/>
            <w:tcMar>
              <w:top w:type="dxa" w:w="40"/>
              <w:left w:type="dxa" w:w="80"/>
              <w:bottom w:type="dxa" w:w="40"/>
              <w:right w:type="dxa" w:w="80"/>
            </w:tcMar>
          </w:tcPr>
          <w:p>
            <w:pPr>
              <w:jc w:val="right"/>
            </w:pPr>
            <w:r>
              <w:rPr>
                <w:rFonts w:ascii="Arial" w:cs="Arial" w:eastAsia="Arial" w:hAnsi="Arial"/>
                <w:b/>
                <w:bCs/>
                <w:sz w:val="18"/>
                <w:szCs w:val="18"/>
              </w:rPr>
              <w:t xml:space="preserve">36,500</w:t>
            </w:r>
          </w:p>
        </w:tc>
        <w:tc>
          <w:tcPr>
            <w:gridSpan w:val="4"/>
            <w:shd w:fill="D9D9D9" w:color="auto" w:val="clear"/>
            <w:tcMar>
              <w:top w:type="dxa" w:w="40"/>
              <w:left w:type="dxa" w:w="80"/>
              <w:bottom w:type="dxa" w:w="40"/>
              <w:right w:type="dxa" w:w="80"/>
            </w:tcMar>
          </w:tcPr>
          <w:p>
            <w:r>
              <w:rPr>
                <w:rFonts w:ascii="Arial" w:cs="Arial" w:eastAsia="Arial" w:hAnsi="Arial"/>
                <w:sz w:val="18"/>
                <w:szCs w:val="18"/>
              </w:rPr>
              <w:t xml:space="preserve"/>
            </w:r>
          </w:p>
        </w:tc>
      </w:tr>
    </w:tbl>
    <w:p>
      <w:pPr>
        <w:spacing w:after="120"/>
      </w:pPr>
      <w:r>
        <w:rPr>
          <w:rFonts w:ascii="Arial" w:cs="Arial" w:eastAsia="Arial" w:hAnsi="Arial"/>
          <w:sz w:val="20"/>
          <w:szCs w:val="20"/>
        </w:rPr>
        <w:t xml:space="preserve"/>
      </w:r>
    </w:p>
    <w:p>
      <w:pPr>
        <w:spacing w:after="120"/>
      </w:pPr>
      <w:r>
        <w:rPr>
          <w:rFonts w:ascii="Arial" w:cs="Arial" w:eastAsia="Arial" w:hAnsi="Arial"/>
          <w:b/>
          <w:bCs/>
          <w:sz w:val="20"/>
          <w:szCs w:val="20"/>
        </w:rPr>
        <w:t xml:space="preserve">Business Unit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c>
          <w:tcPr>
            <w:tcMar>
              <w:top w:type="dxa" w:w="40"/>
              <w:left w:type="dxa" w:w="80"/>
              <w:bottom w:type="dxa" w:w="40"/>
              <w:right w:type="dxa" w:w="80"/>
            </w:tcMar>
          </w:tcPr>
          <w:p>
            <w:r>
              <w:rPr>
                <w:rFonts w:ascii="Arial" w:cs="Arial" w:eastAsia="Arial" w:hAnsi="Arial"/>
                <w:b/>
                <w:bCs/>
                <w:sz w:val="18"/>
                <w:szCs w:val="18"/>
              </w:rPr>
              <w:t xml:space="preserve">Prepared by</w:t>
            </w:r>
          </w:p>
          <w:p>
            <w:r>
              <w:rPr>
                <w:rFonts w:ascii="Arial" w:cs="Arial" w:eastAsia="Arial" w:hAnsi="Arial"/>
                <w:sz w:val="18"/>
                <w:szCs w:val="18"/>
              </w:rPr>
              <w:t xml:space="preserve">Person 6</w:t>
            </w:r>
          </w:p>
          <w:p>
            <w:r>
              <w:rPr>
                <w:rFonts w:ascii="Arial" w:cs="Arial" w:eastAsia="Arial" w:hAnsi="Arial"/>
                <w:color w:val="595959"/>
                <w:sz w:val="16"/>
                <w:szCs w:val="16"/>
              </w:rPr>
              <w:t xml:space="preserve">Loan Operations Officer</w:t>
            </w:r>
          </w:p>
          <w:p>
            <w:r>
              <w:rPr>
                <w:rFonts w:ascii="Arial" w:cs="Arial" w:eastAsia="Arial" w:hAnsi="Arial"/>
                <w:i/>
                <w:iCs/>
                <w:color w:val="595959"/>
                <w:sz w:val="14"/>
                <w:szCs w:val="14"/>
              </w:rPr>
              <w:t xml:space="preserve">e-signed 15 Sept 2026 11:27</w:t>
            </w:r>
          </w:p>
        </w:tc>
        <w:tc>
          <w:tcPr>
            <w:tcMar>
              <w:top w:type="dxa" w:w="40"/>
              <w:left w:type="dxa" w:w="80"/>
              <w:bottom w:type="dxa" w:w="40"/>
              <w:right w:type="dxa" w:w="80"/>
            </w:tcMar>
          </w:tcPr>
          <w:p>
            <w:r>
              <w:rPr>
                <w:rFonts w:ascii="Arial" w:cs="Arial" w:eastAsia="Arial" w:hAnsi="Arial"/>
                <w:b/>
                <w:bCs/>
                <w:sz w:val="18"/>
                <w:szCs w:val="18"/>
              </w:rPr>
              <w:t xml:space="preserve">Recommended by</w:t>
            </w:r>
          </w:p>
          <w:p>
            <w:r>
              <w:rPr>
                <w:rFonts w:ascii="Arial" w:cs="Arial" w:eastAsia="Arial" w:hAnsi="Arial"/>
                <w:sz w:val="18"/>
                <w:szCs w:val="18"/>
              </w:rPr>
              <w:t xml:space="preserve">Person 5</w:t>
            </w:r>
          </w:p>
          <w:p>
            <w:r>
              <w:rPr>
                <w:rFonts w:ascii="Arial" w:cs="Arial" w:eastAsia="Arial" w:hAnsi="Arial"/>
                <w:color w:val="595959"/>
                <w:sz w:val="16"/>
                <w:szCs w:val="16"/>
              </w:rPr>
              <w:t xml:space="preserve">Credit Committee Member</w:t>
            </w:r>
          </w:p>
          <w:p>
            <w:r>
              <w:rPr>
                <w:rFonts w:ascii="Arial" w:cs="Arial" w:eastAsia="Arial" w:hAnsi="Arial"/>
                <w:i/>
                <w:iCs/>
                <w:color w:val="595959"/>
                <w:sz w:val="14"/>
                <w:szCs w:val="14"/>
              </w:rPr>
              <w:t xml:space="preserve">e-signed 15 Sept 2026 11:28</w:t>
            </w:r>
          </w:p>
        </w:tc>
        <w:tc>
          <w:tcPr>
            <w:tcMar>
              <w:top w:type="dxa" w:w="40"/>
              <w:left w:type="dxa" w:w="80"/>
              <w:bottom w:type="dxa" w:w="40"/>
              <w:right w:type="dxa" w:w="80"/>
            </w:tcMar>
          </w:tcPr>
          <w:p>
            <w:r>
              <w:rPr>
                <w:rFonts w:ascii="Arial" w:cs="Arial" w:eastAsia="Arial" w:hAnsi="Arial"/>
                <w:b/>
                <w:bCs/>
                <w:sz w:val="18"/>
                <w:szCs w:val="18"/>
              </w:rPr>
              <w:t xml:space="preserve">Concurred by</w:t>
            </w:r>
          </w:p>
          <w:p>
            <w:r>
              <w:rPr>
                <w:rFonts w:ascii="Arial" w:cs="Arial" w:eastAsia="Arial" w:hAnsi="Arial"/>
                <w:sz w:val="18"/>
                <w:szCs w:val="18"/>
              </w:rPr>
              <w:t xml:space="preserve">Person 2</w:t>
            </w:r>
          </w:p>
          <w:p>
            <w:r>
              <w:rPr>
                <w:rFonts w:ascii="Arial" w:cs="Arial" w:eastAsia="Arial" w:hAnsi="Arial"/>
                <w:color w:val="595959"/>
                <w:sz w:val="16"/>
                <w:szCs w:val="16"/>
              </w:rPr>
              <w:t xml:space="preserve">Head of Private Banking</w:t>
            </w:r>
          </w:p>
          <w:p>
            <w:r>
              <w:rPr>
                <w:rFonts w:ascii="Arial" w:cs="Arial" w:eastAsia="Arial" w:hAnsi="Arial"/>
                <w:i/>
                <w:iCs/>
                <w:color w:val="595959"/>
                <w:sz w:val="14"/>
                <w:szCs w:val="14"/>
              </w:rPr>
              <w:t xml:space="preserve">e-signed 15 Sept 2026 11:28</w:t>
            </w:r>
          </w:p>
        </w:tc>
      </w:tr>
    </w:tbl>
    <w:p>
      <w:pPr>
        <w:spacing w:after="120"/>
      </w:pPr>
      <w:r>
        <w:rPr>
          <w:rFonts w:ascii="Arial" w:cs="Arial" w:eastAsia="Arial" w:hAnsi="Arial"/>
          <w:sz w:val="20"/>
          <w:szCs w:val="20"/>
        </w:rPr>
        <w:t xml:space="preserve"/>
      </w:r>
    </w:p>
    <w:p>
      <w:pPr>
        <w:spacing w:after="120"/>
      </w:pPr>
      <w:r>
        <w:rPr>
          <w:rFonts w:ascii="Arial" w:cs="Arial" w:eastAsia="Arial" w:hAnsi="Arial"/>
          <w:b/>
          <w:bCs/>
          <w:sz w:val="20"/>
          <w:szCs w:val="20"/>
        </w:rPr>
        <w:t xml:space="preserve">Risk Management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Mar>
              <w:top w:type="dxa" w:w="40"/>
              <w:left w:type="dxa" w:w="80"/>
              <w:bottom w:type="dxa" w:w="40"/>
              <w:right w:type="dxa" w:w="80"/>
            </w:tcMar>
          </w:tcPr>
          <w:p>
            <w:r>
              <w:rPr>
                <w:rFonts w:ascii="Arial" w:cs="Arial" w:eastAsia="Arial" w:hAnsi="Arial"/>
                <w:b/>
                <w:bCs/>
                <w:sz w:val="18"/>
                <w:szCs w:val="18"/>
              </w:rPr>
              <w:t xml:space="preserve">Reviewed by</w:t>
            </w:r>
          </w:p>
          <w:p>
            <w:r>
              <w:rPr>
                <w:rFonts w:ascii="Arial" w:cs="Arial" w:eastAsia="Arial" w:hAnsi="Arial"/>
                <w:sz w:val="18"/>
                <w:szCs w:val="18"/>
              </w:rPr>
              <w:t xml:space="preserve">Person 7</w:t>
            </w:r>
          </w:p>
          <w:p>
            <w:r>
              <w:rPr>
                <w:rFonts w:ascii="Arial" w:cs="Arial" w:eastAsia="Arial" w:hAnsi="Arial"/>
                <w:color w:val="595959"/>
                <w:sz w:val="16"/>
                <w:szCs w:val="16"/>
              </w:rPr>
              <w:t xml:space="preserve">Internal Auditor</w:t>
            </w:r>
          </w:p>
          <w:p>
            <w:r>
              <w:rPr>
                <w:rFonts w:ascii="Arial" w:cs="Arial" w:eastAsia="Arial" w:hAnsi="Arial"/>
                <w:i/>
                <w:iCs/>
                <w:color w:val="595959"/>
                <w:sz w:val="14"/>
                <w:szCs w:val="14"/>
              </w:rPr>
              <w:t xml:space="preserve">e-signed 15 Sept 2026 11:31</w:t>
            </w:r>
          </w:p>
        </w:tc>
        <w:tc>
          <w:tcPr>
            <w:tcMar>
              <w:top w:type="dxa" w:w="40"/>
              <w:left w:type="dxa" w:w="80"/>
              <w:bottom w:type="dxa" w:w="40"/>
              <w:right w:type="dxa" w:w="80"/>
            </w:tcMar>
          </w:tcPr>
          <w:p>
            <w:r>
              <w:rPr>
                <w:rFonts w:ascii="Arial" w:cs="Arial" w:eastAsia="Arial" w:hAnsi="Arial"/>
                <w:b/>
                <w:bCs/>
                <w:sz w:val="18"/>
                <w:szCs w:val="18"/>
              </w:rPr>
              <w:t xml:space="preserve">Concurred by</w:t>
            </w:r>
          </w:p>
          <w:p>
            <w:r>
              <w:rPr>
                <w:rFonts w:ascii="Arial" w:cs="Arial" w:eastAsia="Arial" w:hAnsi="Arial"/>
                <w:sz w:val="18"/>
                <w:szCs w:val="18"/>
              </w:rPr>
              <w:t xml:space="preserve">Person 2</w:t>
            </w:r>
          </w:p>
          <w:p>
            <w:r>
              <w:rPr>
                <w:rFonts w:ascii="Arial" w:cs="Arial" w:eastAsia="Arial" w:hAnsi="Arial"/>
                <w:color w:val="595959"/>
                <w:sz w:val="16"/>
                <w:szCs w:val="16"/>
              </w:rPr>
              <w:t xml:space="preserve">Head of Private Banking</w:t>
            </w:r>
          </w:p>
          <w:p>
            <w:r>
              <w:rPr>
                <w:rFonts w:ascii="Arial" w:cs="Arial" w:eastAsia="Arial" w:hAnsi="Arial"/>
                <w:i/>
                <w:iCs/>
                <w:color w:val="595959"/>
                <w:sz w:val="14"/>
                <w:szCs w:val="14"/>
              </w:rPr>
              <w:t xml:space="preserve">e-signed 15 Sept 2026 11:31</w:t>
            </w:r>
          </w:p>
        </w:tc>
      </w:tr>
      <w:tr>
        <w:tc>
          <w:tcPr>
            <w:gridSpan w:val="2"/>
            <w:tcMar>
              <w:top w:type="dxa" w:w="40"/>
              <w:left w:type="dxa" w:w="80"/>
              <w:bottom w:type="dxa" w:w="40"/>
              <w:right w:type="dxa" w:w="80"/>
            </w:tcMar>
          </w:tcPr>
          <w:p>
            <w:r>
              <w:rPr>
                <w:rFonts w:ascii="Arial" w:cs="Arial" w:eastAsia="Arial" w:hAnsi="Arial"/>
                <w:b/>
                <w:bCs/>
                <w:sz w:val="18"/>
                <w:szCs w:val="18"/>
              </w:rPr>
              <w:t xml:space="preserve">Condition(s) for Approval:</w:t>
            </w:r>
          </w:p>
          <w:p>
            <w:pPr>
              <w:pStyle w:val="ListParagraph"/>
              <w:numPr>
                <w:ilvl w:val="0"/>
                <w:numId w:val="1"/>
              </w:numPr>
            </w:pPr>
            <w:r>
              <w:rPr>
                <w:rFonts w:ascii="Arial" w:cs="Arial" w:eastAsia="Arial" w:hAnsi="Arial"/>
                <w:sz w:val="18"/>
                <w:szCs w:val="18"/>
              </w:rPr>
              <w:t xml:space="preserve">QCB credit reports for past 5 years</w:t>
            </w:r>
          </w:p>
          <w:p>
            <w:pPr>
              <w:pStyle w:val="ListParagraph"/>
              <w:numPr>
                <w:ilvl w:val="0"/>
                <w:numId w:val="1"/>
              </w:numPr>
            </w:pPr>
            <w:r>
              <w:rPr>
                <w:rFonts w:ascii="Arial" w:cs="Arial" w:eastAsia="Arial" w:hAnsi="Arial"/>
                <w:sz w:val="18"/>
                <w:szCs w:val="18"/>
              </w:rPr>
              <w:t xml:space="preserve">Sanctions report</w:t>
            </w:r>
          </w:p>
        </w:tc>
      </w:tr>
    </w:tbl>
    <w:p>
      <w:r>
        <w:br w:type="page"/>
      </w:r>
    </w:p>
    <w:p>
      <w:pPr>
        <w:pStyle w:val="Heading1"/>
        <w:spacing w:after="120" w:before="240"/>
      </w:pPr>
      <w:r>
        <w:rPr>
          <w:rFonts w:ascii="Arial" w:cs="Arial" w:eastAsia="Arial" w:hAnsi="Arial"/>
          <w:b/>
          <w:bCs/>
          <w:color w:val="1F3864"/>
          <w:sz w:val="26"/>
          <w:szCs w:val="26"/>
        </w:rPr>
        <w:t xml:space="preserve">I. Nature of Request</w:t>
      </w:r>
    </w:p>
    <w:p>
      <w:pPr>
        <w:spacing w:after="120"/>
        <w:jc w:val="both"/>
      </w:pPr>
      <w:r>
        <w:rPr>
          <w:rFonts w:ascii="Arial" w:cs="Arial" w:eastAsia="Arial" w:hAnsi="Arial"/>
          <w:sz w:val="20"/>
          <w:szCs w:val="20"/>
        </w:rPr>
        <w:t xml:space="preserve">The request is for a proposed Demand Loan of USD 10,000K, equivalent to QAR 36,500K at the fixed parity of 3.65, with a tenor of 25 years and an availability period of two years. The stated purpose is to create a new facility. Pricing is indicated as 3M SOFR plus an unspecified margin, subject to a maximum all-in rate of 0.03%; commitment, management and prepayment fees are 0.50%, 0.25% and 1.00%, respectively. The term sheet indicates an LTV cap of 70%, a top-up trigger of 75%, a liquidation trigger of 85% and proposed security coverage of 143%. The proposed security is described as pledged securities/fund units; the nature, value, liquidity, ownership and enforceability of the collateral remain to be confirmed. QCB approval for FX lending is identified as a regulatory prerequisite. Governing law is Qatari Law. The refinance carve-out, risk rating and final risk rating are not specified. [Analyst to confirm: pricing margin and whether the stated maximum all-in rate of 0.03% is correct]. (Source: application form)</w:t>
      </w:r>
    </w:p>
    <w:p>
      <w:pPr>
        <w:pStyle w:val="Heading2"/>
        <w:spacing w:after="120" w:before="240"/>
      </w:pPr>
      <w:r>
        <w:rPr>
          <w:rFonts w:ascii="Arial" w:cs="Arial" w:eastAsia="Arial" w:hAnsi="Arial"/>
          <w:b/>
          <w:bCs/>
          <w:color w:val="1F3864"/>
          <w:sz w:val="22"/>
          <w:szCs w:val="22"/>
        </w:rPr>
        <w:t xml:space="preserve">Brief Details of Borrower</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borrower is identified in the application as Salam International. The supplied financial documents identify the entity as Salam International Investment Limited Q.P.S.C. The legal form, commercial licence, domicile, ownership, incorporation date, principal business activity and purpose of incorporation are not provided in the fact pack. The group name and relationship to any wider group are also not specified, and the account is stated to be a new account to be opened. [Analyst to confirm: full legal name, legal form, licence details, registered domicile, incorporation date, ownership structure, business activity, purpose of incorporation and group structure]. No KYC or constitutional documents have been uploaded. (Source: application form;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w:t>
      </w:r>
    </w:p>
    <w:p>
      <w:pPr>
        <w:pStyle w:val="Heading2"/>
        <w:spacing w:after="120" w:before="240"/>
      </w:pPr>
      <w:r>
        <w:rPr>
          <w:rFonts w:ascii="Arial" w:cs="Arial" w:eastAsia="Arial" w:hAnsi="Arial"/>
          <w:b/>
          <w:bCs/>
          <w:color w:val="1F3864"/>
          <w:sz w:val="22"/>
          <w:szCs w:val="22"/>
        </w:rPr>
        <w:t xml:space="preserve">Brief Details of Guarantor</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No guarantor is identified in the facility request or supplied document pack. Accordingly, no description of a proposed guarantor, its financial capacity, strategy, ownership, relationship with the borrower or proposed guarantee terms can be provided. The audited financial statements disclose that certain borrowings of the borrower are supported by corporate and/or cross-corporate guarantees; however, this disclosure does not establish that any such entity is proposed as guarantor for the requested facility. [Analyst to confirm: whether a guarantor is required; if so, the guarantor’s full legal name, ownership, financial information, relationship with the borrower, guarantee scope, ranking, enforceability and approval requirements].</w:t>
      </w:r>
    </w:p>
    <w:p>
      <w:pPr>
        <w:pStyle w:val="Heading2"/>
        <w:spacing w:after="120" w:before="240"/>
      </w:pPr>
      <w:r>
        <w:rPr>
          <w:rFonts w:ascii="Arial" w:cs="Arial" w:eastAsia="Arial" w:hAnsi="Arial"/>
          <w:b/>
          <w:bCs/>
          <w:color w:val="1F3864"/>
          <w:sz w:val="22"/>
          <w:szCs w:val="22"/>
        </w:rPr>
        <w:t xml:space="preserve">Overview of the Transaction</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proposed transaction comprises a new USD 10,000K Demand Loan, equivalent to QAR 36,500K, to be made available over a two-year availability period and with a stated 25-year tenor. The available information does not describe the proposed fund pool, the underlying investments, the investment mandate, eligible assets, custody arrangements, valuation methodology or whether proceeds will be used for investment, refinancing or another purpose. No Sharia-compliant structure, documentation, asset-backed arrangement or Islamic finance approval is identified in the fact pack. The request is therefore described as a conventional Demand Loan based on the supplied term-sheet terminology, subject to confirmation by the analyst. [Analyst to confirm: transaction structure, source and use of funds, investment portfolio or fund details, custody arrangements, permitted investments and whether any Sharia-compliant structure is intended]. (Source: application form)</w:t>
      </w:r>
    </w:p>
    <w:p>
      <w:pPr>
        <w:pStyle w:val="Heading2"/>
        <w:spacing w:after="120" w:before="240"/>
      </w:pPr>
      <w:r>
        <w:rPr>
          <w:rFonts w:ascii="Arial" w:cs="Arial" w:eastAsia="Arial" w:hAnsi="Arial"/>
          <w:b/>
          <w:bCs/>
          <w:color w:val="1F3864"/>
          <w:sz w:val="22"/>
          <w:szCs w:val="22"/>
        </w:rPr>
        <w:t xml:space="preserve">Modus Operandi</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term sheet refers to pledged securities/fund units and specifies an LTV cap of 70%, a top-up trigger of 75% and a liquidation trigger of 85%, with proposed security coverage of 143%. No operating mechanics are provided for establishing or perfecting the pledge, controlling the custody account, valuing the assets, reporting NAV, monitoring concentration or restricting withdrawals and substitutions. Drawdown rules, collateral eligibility, valuation frequency, margin-call timelines, enforcement rights and treatment of market disruption are also not specified. Commitment, management and prepayment fees are indicated at 0.50%, 0.25% and 1.00%, respectively, but the calculation basis and payment dates are not stated. [Analyst to confirm: pledge and custody documentation, eligible collateral, independent valuation/NAV reporting frequency, minimum cushion methodology, top-up and liquidation procedures, permitted withdrawals/substitutions, fee calculation basis and renewal requirements]. (Source: application form)</w:t>
      </w:r>
    </w:p>
    <w:p>
      <w:pPr>
        <w:pStyle w:val="Heading1"/>
        <w:spacing w:after="120" w:before="240"/>
      </w:pPr>
      <w:r>
        <w:rPr>
          <w:rFonts w:ascii="Arial" w:cs="Arial" w:eastAsia="Arial" w:hAnsi="Arial"/>
          <w:b/>
          <w:bCs/>
          <w:color w:val="1F3864"/>
          <w:sz w:val="26"/>
          <w:szCs w:val="26"/>
        </w:rPr>
        <w:t xml:space="preserve">II. Terms Sheet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Facility Type</w:t>
            </w:r>
          </w:p>
        </w:tc>
        <w:tc>
          <w:tcPr>
            <w:tcW w:type="pct" w:w="75%"/>
            <w:tcMar>
              <w:top w:type="dxa" w:w="40"/>
              <w:left w:type="dxa" w:w="80"/>
              <w:bottom w:type="dxa" w:w="40"/>
              <w:right w:type="dxa" w:w="80"/>
            </w:tcMar>
          </w:tcPr>
          <w:p>
            <w:r>
              <w:rPr>
                <w:rFonts w:ascii="Arial" w:cs="Arial" w:eastAsia="Arial" w:hAnsi="Arial"/>
                <w:sz w:val="18"/>
                <w:szCs w:val="18"/>
              </w:rPr>
              <w:t xml:space="preserve">Demand Loan</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Facility Amount</w:t>
            </w:r>
          </w:p>
        </w:tc>
        <w:tc>
          <w:tcPr>
            <w:tcW w:type="pct" w:w="75%"/>
            <w:tcMar>
              <w:top w:type="dxa" w:w="40"/>
              <w:left w:type="dxa" w:w="80"/>
              <w:bottom w:type="dxa" w:w="40"/>
              <w:right w:type="dxa" w:w="80"/>
            </w:tcMar>
          </w:tcPr>
          <w:p>
            <w:r>
              <w:rPr>
                <w:rFonts w:ascii="Arial" w:cs="Arial" w:eastAsia="Arial" w:hAnsi="Arial"/>
                <w:sz w:val="18"/>
                <w:szCs w:val="18"/>
              </w:rPr>
              <w:t xml:space="preserve">USD 10.0 MM (QAR 36,500K)</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5%"/>
            <w:tcMar>
              <w:top w:type="dxa" w:w="40"/>
              <w:left w:type="dxa" w:w="80"/>
              <w:bottom w:type="dxa" w:w="40"/>
              <w:right w:type="dxa" w:w="80"/>
            </w:tcMar>
          </w:tcPr>
          <w:p>
            <w:r>
              <w:rPr>
                <w:rFonts w:ascii="Arial" w:cs="Arial" w:eastAsia="Arial" w:hAnsi="Arial"/>
                <w:sz w:val="18"/>
                <w:szCs w:val="18"/>
              </w:rPr>
              <w:t xml:space="preserve">Create a new facilty</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Interest Rate</w:t>
            </w:r>
          </w:p>
        </w:tc>
        <w:tc>
          <w:tcPr>
            <w:tcW w:type="pct" w:w="75%"/>
            <w:tcMar>
              <w:top w:type="dxa" w:w="40"/>
              <w:left w:type="dxa" w:w="80"/>
              <w:bottom w:type="dxa" w:w="40"/>
              <w:right w:type="dxa" w:w="80"/>
            </w:tcMar>
          </w:tcPr>
          <w:p>
            <w:r>
              <w:rPr>
                <w:rFonts w:ascii="Arial" w:cs="Arial" w:eastAsia="Arial" w:hAnsi="Arial"/>
                <w:sz w:val="18"/>
                <w:szCs w:val="18"/>
              </w:rPr>
              <w:t xml:space="preserve">3M SOFR + — p.a. (max all-in 0.03%)</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Management Fee</w:t>
            </w:r>
          </w:p>
        </w:tc>
        <w:tc>
          <w:tcPr>
            <w:tcW w:type="pct" w:w="75%"/>
            <w:tcMar>
              <w:top w:type="dxa" w:w="40"/>
              <w:left w:type="dxa" w:w="80"/>
              <w:bottom w:type="dxa" w:w="40"/>
              <w:right w:type="dxa" w:w="80"/>
            </w:tcMar>
          </w:tcPr>
          <w:p>
            <w:r>
              <w:rPr>
                <w:rFonts w:ascii="Arial" w:cs="Arial" w:eastAsia="Arial" w:hAnsi="Arial"/>
                <w:sz w:val="18"/>
                <w:szCs w:val="18"/>
              </w:rPr>
              <w:t xml:space="preserve">0.25% p.a. on the facility limit</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Commitment Fee</w:t>
            </w:r>
          </w:p>
        </w:tc>
        <w:tc>
          <w:tcPr>
            <w:tcW w:type="pct" w:w="75%"/>
            <w:tcMar>
              <w:top w:type="dxa" w:w="40"/>
              <w:left w:type="dxa" w:w="80"/>
              <w:bottom w:type="dxa" w:w="40"/>
              <w:right w:type="dxa" w:w="80"/>
            </w:tcMar>
          </w:tcPr>
          <w:p>
            <w:r>
              <w:rPr>
                <w:rFonts w:ascii="Arial" w:cs="Arial" w:eastAsia="Arial" w:hAnsi="Arial"/>
                <w:sz w:val="18"/>
                <w:szCs w:val="18"/>
              </w:rPr>
              <w:t xml:space="preserve">0.50% p.a. on the undisbursed balance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Prepayment Fee</w:t>
            </w:r>
          </w:p>
        </w:tc>
        <w:tc>
          <w:tcPr>
            <w:tcW w:type="pct" w:w="75%"/>
            <w:tcMar>
              <w:top w:type="dxa" w:w="40"/>
              <w:left w:type="dxa" w:w="80"/>
              <w:bottom w:type="dxa" w:w="40"/>
              <w:right w:type="dxa" w:w="80"/>
            </w:tcMar>
          </w:tcPr>
          <w:p>
            <w:r>
              <w:rPr>
                <w:rFonts w:ascii="Arial" w:cs="Arial" w:eastAsia="Arial" w:hAnsi="Arial"/>
                <w:sz w:val="18"/>
                <w:szCs w:val="18"/>
              </w:rPr>
              <w:t xml:space="preserve">1.00%</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Tenor</w:t>
            </w:r>
          </w:p>
        </w:tc>
        <w:tc>
          <w:tcPr>
            <w:tcW w:type="pct" w:w="75%"/>
            <w:tcMar>
              <w:top w:type="dxa" w:w="40"/>
              <w:left w:type="dxa" w:w="80"/>
              <w:bottom w:type="dxa" w:w="40"/>
              <w:right w:type="dxa" w:w="80"/>
            </w:tcMar>
          </w:tcPr>
          <w:p>
            <w:r>
              <w:rPr>
                <w:rFonts w:ascii="Arial" w:cs="Arial" w:eastAsia="Arial" w:hAnsi="Arial"/>
                <w:sz w:val="18"/>
                <w:szCs w:val="18"/>
              </w:rPr>
              <w:t xml:space="preserve">25 years (2-year availability period)</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Disbursement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Proposed facility: Demand Loan of USD 10,000K, equivalent to QAR 36,500K. (Source: application form)</w:t>
            </w:r>
          </w:p>
          <w:p>
            <w:pPr>
              <w:pStyle w:val="ListParagraph"/>
              <w:numPr>
                <w:ilvl w:val="0"/>
                <w:numId w:val="1"/>
              </w:numPr>
              <w:spacing w:after="60"/>
            </w:pPr>
            <w:r>
              <w:rPr>
                <w:rFonts w:ascii="Arial" w:cs="Arial" w:eastAsia="Arial" w:hAnsi="Arial"/>
                <w:sz w:val="20"/>
                <w:szCs w:val="20"/>
              </w:rPr>
              <w:t xml:space="preserve">Availability period: two years. (Source: application form)</w:t>
            </w:r>
          </w:p>
          <w:p>
            <w:pPr>
              <w:pStyle w:val="ListParagraph"/>
              <w:numPr>
                <w:ilvl w:val="0"/>
                <w:numId w:val="1"/>
              </w:numPr>
              <w:spacing w:after="60"/>
            </w:pPr>
            <w:r>
              <w:rPr>
                <w:rFonts w:ascii="Arial" w:cs="Arial" w:eastAsia="Arial" w:hAnsi="Arial"/>
                <w:sz w:val="20"/>
                <w:szCs w:val="20"/>
              </w:rPr>
              <w:t xml:space="preserve">Tranche booking rules: [Analyst to confirm].</w:t>
            </w:r>
          </w:p>
          <w:p>
            <w:pPr>
              <w:pStyle w:val="ListParagraph"/>
              <w:numPr>
                <w:ilvl w:val="0"/>
                <w:numId w:val="1"/>
              </w:numPr>
              <w:spacing w:after="60"/>
            </w:pPr>
            <w:r>
              <w:rPr>
                <w:rFonts w:ascii="Arial" w:cs="Arial" w:eastAsia="Arial" w:hAnsi="Arial"/>
                <w:sz w:val="20"/>
                <w:szCs w:val="20"/>
              </w:rPr>
              <w:t xml:space="preserve">Minimum and maximum drawdown amounts: [Analyst to confirm].</w:t>
            </w:r>
          </w:p>
          <w:p>
            <w:pPr>
              <w:pStyle w:val="ListParagraph"/>
              <w:numPr>
                <w:ilvl w:val="0"/>
                <w:numId w:val="1"/>
              </w:numPr>
              <w:spacing w:after="60"/>
            </w:pPr>
            <w:r>
              <w:rPr>
                <w:rFonts w:ascii="Arial" w:cs="Arial" w:eastAsia="Arial" w:hAnsi="Arial"/>
                <w:sz w:val="20"/>
                <w:szCs w:val="20"/>
              </w:rPr>
              <w:t xml:space="preserve">Drawdown conditions, including evidence of purpose, collateral perfection, margin availability and account control: [Analyst to confirm].</w:t>
            </w:r>
          </w:p>
          <w:p>
            <w:pPr>
              <w:pStyle w:val="ListParagraph"/>
              <w:numPr>
                <w:ilvl w:val="0"/>
                <w:numId w:val="1"/>
              </w:numPr>
              <w:spacing w:after="60"/>
            </w:pPr>
            <w:r>
              <w:rPr>
                <w:rFonts w:ascii="Arial" w:cs="Arial" w:eastAsia="Arial" w:hAnsi="Arial"/>
                <w:sz w:val="20"/>
                <w:szCs w:val="20"/>
              </w:rPr>
              <w:t xml:space="preserve">FX lending approval: QCB approval is identified as a regulatory prerequisite. (Source: application form)</w:t>
            </w:r>
          </w:p>
          <w:p>
            <w:pPr>
              <w:pStyle w:val="ListParagraph"/>
              <w:numPr>
                <w:ilvl w:val="0"/>
                <w:numId w:val="1"/>
              </w:numPr>
              <w:spacing w:after="60"/>
            </w:pPr>
            <w:r>
              <w:rPr>
                <w:rFonts w:ascii="Arial" w:cs="Arial" w:eastAsia="Arial" w:hAnsi="Arial"/>
                <w:sz w:val="20"/>
                <w:szCs w:val="20"/>
              </w:rPr>
              <w:t xml:space="preserve">Conditions relating to KYC, constitutional documents, bank statements and collateral documentation: [Analyst to confirm].</w:t>
            </w:r>
          </w:p>
          <w:p>
            <w:pPr>
              <w:pStyle w:val="ListParagraph"/>
              <w:numPr>
                <w:ilvl w:val="0"/>
                <w:numId w:val="1"/>
              </w:numPr>
              <w:spacing w:after="60"/>
            </w:pPr>
            <w:r>
              <w:rPr>
                <w:rFonts w:ascii="Arial" w:cs="Arial" w:eastAsia="Arial" w:hAnsi="Arial"/>
                <w:sz w:val="20"/>
                <w:szCs w:val="20"/>
              </w:rPr>
              <w:t xml:space="preserve">Drawdown currency and permitted conversion mechanics: [Analyst to confirm].</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Repayment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Tenor: 25 years. (Source: application form)</w:t>
            </w:r>
          </w:p>
          <w:p>
            <w:pPr>
              <w:pStyle w:val="ListParagraph"/>
              <w:numPr>
                <w:ilvl w:val="0"/>
                <w:numId w:val="1"/>
              </w:numPr>
              <w:spacing w:after="60"/>
            </w:pPr>
            <w:r>
              <w:rPr>
                <w:rFonts w:ascii="Arial" w:cs="Arial" w:eastAsia="Arial" w:hAnsi="Arial"/>
                <w:sz w:val="20"/>
                <w:szCs w:val="20"/>
              </w:rPr>
              <w:t xml:space="preserve">Facility type: Demand Loan. (Source: application form)</w:t>
            </w:r>
          </w:p>
          <w:p>
            <w:pPr>
              <w:pStyle w:val="ListParagraph"/>
              <w:numPr>
                <w:ilvl w:val="0"/>
                <w:numId w:val="1"/>
              </w:numPr>
              <w:spacing w:after="60"/>
            </w:pPr>
            <w:r>
              <w:rPr>
                <w:rFonts w:ascii="Arial" w:cs="Arial" w:eastAsia="Arial" w:hAnsi="Arial"/>
                <w:sz w:val="20"/>
                <w:szCs w:val="20"/>
              </w:rPr>
              <w:t xml:space="preserve">Interest pricing: 3M SOFR plus an unspecified margin, subject to a stated maximum all-in rate of 0.03%. [Analyst to confirm the margin, rate floor, reset dates and the accuracy of the maximum all-in rate]. (Source: application form)</w:t>
            </w:r>
          </w:p>
          <w:p>
            <w:pPr>
              <w:pStyle w:val="ListParagraph"/>
              <w:numPr>
                <w:ilvl w:val="0"/>
                <w:numId w:val="1"/>
              </w:numPr>
              <w:spacing w:after="60"/>
            </w:pPr>
            <w:r>
              <w:rPr>
                <w:rFonts w:ascii="Arial" w:cs="Arial" w:eastAsia="Arial" w:hAnsi="Arial"/>
                <w:sz w:val="20"/>
                <w:szCs w:val="20"/>
              </w:rPr>
              <w:t xml:space="preserve">Principal repayment schedule: [Analyst to confirm].</w:t>
            </w:r>
          </w:p>
          <w:p>
            <w:pPr>
              <w:pStyle w:val="ListParagraph"/>
              <w:numPr>
                <w:ilvl w:val="0"/>
                <w:numId w:val="1"/>
              </w:numPr>
              <w:spacing w:after="60"/>
            </w:pPr>
            <w:r>
              <w:rPr>
                <w:rFonts w:ascii="Arial" w:cs="Arial" w:eastAsia="Arial" w:hAnsi="Arial"/>
                <w:sz w:val="20"/>
                <w:szCs w:val="20"/>
              </w:rPr>
              <w:t xml:space="preserve">Whether the facility is bullet, amortising or repayable on demand: [Analyst to confirm].</w:t>
            </w:r>
          </w:p>
          <w:p>
            <w:pPr>
              <w:pStyle w:val="ListParagraph"/>
              <w:numPr>
                <w:ilvl w:val="0"/>
                <w:numId w:val="1"/>
              </w:numPr>
              <w:spacing w:after="60"/>
            </w:pPr>
            <w:r>
              <w:rPr>
                <w:rFonts w:ascii="Arial" w:cs="Arial" w:eastAsia="Arial" w:hAnsi="Arial"/>
                <w:sz w:val="20"/>
                <w:szCs w:val="20"/>
              </w:rPr>
              <w:t xml:space="preserve">Interest payment frequency and day-count convention: [Analyst to confirm].</w:t>
            </w:r>
          </w:p>
          <w:p>
            <w:pPr>
              <w:pStyle w:val="ListParagraph"/>
              <w:numPr>
                <w:ilvl w:val="0"/>
                <w:numId w:val="1"/>
              </w:numPr>
              <w:spacing w:after="60"/>
            </w:pPr>
            <w:r>
              <w:rPr>
                <w:rFonts w:ascii="Arial" w:cs="Arial" w:eastAsia="Arial" w:hAnsi="Arial"/>
                <w:sz w:val="20"/>
                <w:szCs w:val="20"/>
              </w:rPr>
              <w:t xml:space="preserve">Mandatory prepayment events, including collateral shortfall, asset disposal, change of control or breach of covenant: [Analyst to confirm].</w:t>
            </w:r>
          </w:p>
          <w:p>
            <w:pPr>
              <w:pStyle w:val="ListParagraph"/>
              <w:numPr>
                <w:ilvl w:val="0"/>
                <w:numId w:val="1"/>
              </w:numPr>
              <w:spacing w:after="60"/>
            </w:pPr>
            <w:r>
              <w:rPr>
                <w:rFonts w:ascii="Arial" w:cs="Arial" w:eastAsia="Arial" w:hAnsi="Arial"/>
                <w:sz w:val="20"/>
                <w:szCs w:val="20"/>
              </w:rPr>
              <w:t xml:space="preserve">Voluntary prepayment is subject to a stated prepayment fee of 1.00%; the fee basis, applicable period and exceptions are not specified. (Source: application form)</w:t>
            </w:r>
          </w:p>
          <w:p>
            <w:pPr>
              <w:pStyle w:val="ListParagraph"/>
              <w:numPr>
                <w:ilvl w:val="0"/>
                <w:numId w:val="1"/>
              </w:numPr>
              <w:spacing w:after="60"/>
            </w:pPr>
            <w:r>
              <w:rPr>
                <w:rFonts w:ascii="Arial" w:cs="Arial" w:eastAsia="Arial" w:hAnsi="Arial"/>
                <w:sz w:val="20"/>
                <w:szCs w:val="20"/>
              </w:rPr>
              <w:t xml:space="preserve">Commitment fee and management fee are stated at 0.50% and 0.25%, respectively; the calculation basis and payment timing remain to be confirmed. (Source: application form)</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Security / Support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Proposed security is stated as pledged securities/fund units, subject to a maximum LTV of 70%, a top-up trigger at 75% and a liquidation trigger at 85% (Source: application form).</w:t>
            </w:r>
          </w:p>
          <w:p>
            <w:pPr>
              <w:pStyle w:val="ListParagraph"/>
              <w:numPr>
                <w:ilvl w:val="0"/>
                <w:numId w:val="1"/>
              </w:numPr>
              <w:spacing w:after="60"/>
            </w:pPr>
            <w:r>
              <w:rPr>
                <w:rFonts w:ascii="Arial" w:cs="Arial" w:eastAsia="Arial" w:hAnsi="Arial"/>
                <w:sz w:val="20"/>
                <w:szCs w:val="20"/>
              </w:rPr>
              <w:t xml:space="preserve">The proposed security coverage is 143% of exposure; this is identified as weak against the stated requirement and should be validated before drawdown (Source: application form).</w:t>
            </w:r>
          </w:p>
          <w:p>
            <w:pPr>
              <w:pStyle w:val="ListParagraph"/>
              <w:numPr>
                <w:ilvl w:val="0"/>
                <w:numId w:val="1"/>
              </w:numPr>
              <w:spacing w:after="60"/>
            </w:pPr>
            <w:r>
              <w:rPr>
                <w:rFonts w:ascii="Arial" w:cs="Arial" w:eastAsia="Arial" w:hAnsi="Arial"/>
                <w:sz w:val="20"/>
                <w:szCs w:val="20"/>
              </w:rPr>
              <w:t xml:space="preserve">The facility terms refer to a demand loan of USD 10,000K, equivalent to QAR 36,500K at the fixed parity of 3.65 (Source: application form).</w:t>
            </w:r>
          </w:p>
          <w:p>
            <w:pPr>
              <w:pStyle w:val="ListParagraph"/>
              <w:numPr>
                <w:ilvl w:val="0"/>
                <w:numId w:val="1"/>
              </w:numPr>
              <w:spacing w:after="60"/>
            </w:pPr>
            <w:r>
              <w:rPr>
                <w:rFonts w:ascii="Arial" w:cs="Arial" w:eastAsia="Arial" w:hAnsi="Arial"/>
                <w:sz w:val="20"/>
                <w:szCs w:val="20"/>
              </w:rPr>
              <w:t xml:space="preserve">[Analyst to confirm: exact securities/fund units, issuer, valuation methodology, liquidity, currency, ownership, existing encumbrances and acceptable margining frequency.]</w:t>
            </w:r>
          </w:p>
          <w:p>
            <w:pPr>
              <w:pStyle w:val="ListParagraph"/>
              <w:numPr>
                <w:ilvl w:val="0"/>
                <w:numId w:val="1"/>
              </w:numPr>
              <w:spacing w:after="60"/>
            </w:pPr>
            <w:r>
              <w:rPr>
                <w:rFonts w:ascii="Arial" w:cs="Arial" w:eastAsia="Arial" w:hAnsi="Arial"/>
                <w:sz w:val="20"/>
                <w:szCs w:val="20"/>
              </w:rPr>
              <w:t xml:space="preserve">[Analyst to confirm: executed pledge, custody/control arrangements, power of attorney, insurance or other supporting security documents.]</w:t>
            </w:r>
          </w:p>
          <w:p>
            <w:pPr>
              <w:pStyle w:val="ListParagraph"/>
              <w:numPr>
                <w:ilvl w:val="0"/>
                <w:numId w:val="1"/>
              </w:numPr>
              <w:spacing w:after="60"/>
            </w:pPr>
            <w:r>
              <w:rPr>
                <w:rFonts w:ascii="Arial" w:cs="Arial" w:eastAsia="Arial" w:hAnsi="Arial"/>
                <w:sz w:val="20"/>
                <w:szCs w:val="20"/>
              </w:rPr>
              <w:t xml:space="preserve">[Analyst to confirm: whether any sponsor, shareholder, corporate or cross-corporate guarantee, negative pledge, asset-sale undertaking or other support is required.]</w:t>
            </w:r>
          </w:p>
          <w:p>
            <w:pPr>
              <w:pStyle w:val="ListParagraph"/>
              <w:numPr>
                <w:ilvl w:val="0"/>
                <w:numId w:val="1"/>
              </w:numPr>
              <w:spacing w:after="60"/>
            </w:pPr>
            <w:r>
              <w:rPr>
                <w:rFonts w:ascii="Arial" w:cs="Arial" w:eastAsia="Arial" w:hAnsi="Arial"/>
                <w:sz w:val="20"/>
                <w:szCs w:val="20"/>
              </w:rPr>
              <w:t xml:space="preserve">The borrower’s investment properties are already mortgaged to a local bank, including investment properties valued at QAR 2,108,000K at 30 June 2026, which may constrain availability of additional asset security (Source: SIIL -HY 2026-English Signed.pdf, p.16).</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Conditions Precedent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Completion and approval of all KYC, customer identification, beneficial ownership and constitutional documentation. No KYC or constitutional document has been uploaded to the credit file (Source: application form).</w:t>
            </w:r>
          </w:p>
          <w:p>
            <w:pPr>
              <w:pStyle w:val="ListParagraph"/>
              <w:numPr>
                <w:ilvl w:val="0"/>
                <w:numId w:val="1"/>
              </w:numPr>
              <w:spacing w:after="60"/>
            </w:pPr>
            <w:r>
              <w:rPr>
                <w:rFonts w:ascii="Arial" w:cs="Arial" w:eastAsia="Arial" w:hAnsi="Arial"/>
                <w:sz w:val="20"/>
                <w:szCs w:val="20"/>
              </w:rPr>
              <w:t xml:space="preserve">Receipt of QCB approval or confirmation of satisfaction of the regulatory prerequisite for FX lending (Source: application form).</w:t>
            </w:r>
          </w:p>
          <w:p>
            <w:pPr>
              <w:pStyle w:val="ListParagraph"/>
              <w:numPr>
                <w:ilvl w:val="0"/>
                <w:numId w:val="1"/>
              </w:numPr>
              <w:spacing w:after="60"/>
            </w:pPr>
            <w:r>
              <w:rPr>
                <w:rFonts w:ascii="Arial" w:cs="Arial" w:eastAsia="Arial" w:hAnsi="Arial"/>
                <w:sz w:val="20"/>
                <w:szCs w:val="20"/>
              </w:rPr>
              <w:t xml:space="preserve">Execution and perfection of the facility agreement, demand loan documentation and all security, custody, pledge and control documents in form and substance satisfactory to the Bank.</w:t>
            </w:r>
          </w:p>
          <w:p>
            <w:pPr>
              <w:pStyle w:val="ListParagraph"/>
              <w:numPr>
                <w:ilvl w:val="0"/>
                <w:numId w:val="1"/>
              </w:numPr>
              <w:spacing w:after="60"/>
            </w:pPr>
            <w:r>
              <w:rPr>
                <w:rFonts w:ascii="Arial" w:cs="Arial" w:eastAsia="Arial" w:hAnsi="Arial"/>
                <w:sz w:val="20"/>
                <w:szCs w:val="20"/>
              </w:rPr>
              <w:t xml:space="preserve">Confirmation that the proposed securities/fund units are eligible collateral, are free from prior encumbrances and support the proposed LTV and security coverage requirements (Source: application form).</w:t>
            </w:r>
          </w:p>
          <w:p>
            <w:pPr>
              <w:pStyle w:val="ListParagraph"/>
              <w:numPr>
                <w:ilvl w:val="0"/>
                <w:numId w:val="1"/>
              </w:numPr>
              <w:spacing w:after="60"/>
            </w:pPr>
            <w:r>
              <w:rPr>
                <w:rFonts w:ascii="Arial" w:cs="Arial" w:eastAsia="Arial" w:hAnsi="Arial"/>
                <w:sz w:val="20"/>
                <w:szCs w:val="20"/>
              </w:rPr>
              <w:t xml:space="preserve">Receipt of satisfactory bank statements and evidence of the borrower’s banking arrangements. No bank statements have been uploaded (Source: application form).</w:t>
            </w:r>
          </w:p>
          <w:p>
            <w:pPr>
              <w:pStyle w:val="ListParagraph"/>
              <w:numPr>
                <w:ilvl w:val="0"/>
                <w:numId w:val="1"/>
              </w:numPr>
              <w:spacing w:after="60"/>
            </w:pPr>
            <w:r>
              <w:rPr>
                <w:rFonts w:ascii="Arial" w:cs="Arial" w:eastAsia="Arial" w:hAnsi="Arial"/>
                <w:sz w:val="20"/>
                <w:szCs w:val="20"/>
              </w:rPr>
              <w:t xml:space="preserve">Receipt of the latest audited financial statements and satisfactory clarification of the borrower’s debt service capacity, material related-party receivables and overdue credit-impaired receivables.</w:t>
            </w:r>
          </w:p>
          <w:p>
            <w:pPr>
              <w:pStyle w:val="ListParagraph"/>
              <w:numPr>
                <w:ilvl w:val="0"/>
                <w:numId w:val="1"/>
              </w:numPr>
              <w:spacing w:after="60"/>
            </w:pPr>
            <w:r>
              <w:rPr>
                <w:rFonts w:ascii="Arial" w:cs="Arial" w:eastAsia="Arial" w:hAnsi="Arial"/>
                <w:sz w:val="20"/>
                <w:szCs w:val="20"/>
              </w:rPr>
              <w:t xml:space="preserve">[Analyst to confirm: required insurance, legal opinions, valuation reports, account-opening documents, tax documentation and any additional conditions required by Legal, Compliance or Operations.]</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Performance Monitoring</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Borrower to provide audited annual financial statements within the period required by the Bank after each financial year-end, together with interim financial information at least semi-annually. The latest FY2025 financial statements were audited by KPMG with an unqualified opinion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w:t>
            </w:r>
          </w:p>
          <w:p>
            <w:pPr>
              <w:pStyle w:val="ListParagraph"/>
              <w:numPr>
                <w:ilvl w:val="0"/>
                <w:numId w:val="1"/>
              </w:numPr>
              <w:spacing w:after="60"/>
            </w:pPr>
            <w:r>
              <w:rPr>
                <w:rFonts w:ascii="Arial" w:cs="Arial" w:eastAsia="Arial" w:hAnsi="Arial"/>
                <w:sz w:val="20"/>
                <w:szCs w:val="20"/>
              </w:rPr>
              <w:t xml:space="preserve">Borrower to provide quarterly management accounts, including statement of financial position, income statement, cash-flow statement, debt schedule, related-party balances and covenant calculations.</w:t>
            </w:r>
          </w:p>
          <w:p>
            <w:pPr>
              <w:pStyle w:val="ListParagraph"/>
              <w:numPr>
                <w:ilvl w:val="0"/>
                <w:numId w:val="1"/>
              </w:numPr>
              <w:spacing w:after="60"/>
            </w:pPr>
            <w:r>
              <w:rPr>
                <w:rFonts w:ascii="Arial" w:cs="Arial" w:eastAsia="Arial" w:hAnsi="Arial"/>
                <w:sz w:val="20"/>
                <w:szCs w:val="20"/>
              </w:rPr>
              <w:t xml:space="preserve">Borrower to provide monthly or otherwise agreed collateral statements showing market value, units held, outstanding exposure, applicable LTV and headroom to the top-up and liquidation triggers (Source: application form).</w:t>
            </w:r>
          </w:p>
          <w:p>
            <w:pPr>
              <w:pStyle w:val="ListParagraph"/>
              <w:numPr>
                <w:ilvl w:val="0"/>
                <w:numId w:val="1"/>
              </w:numPr>
              <w:spacing w:after="60"/>
            </w:pPr>
            <w:r>
              <w:rPr>
                <w:rFonts w:ascii="Arial" w:cs="Arial" w:eastAsia="Arial" w:hAnsi="Arial"/>
                <w:sz w:val="20"/>
                <w:szCs w:val="20"/>
              </w:rPr>
              <w:t xml:space="preserve">Immediate notification of any breach or anticipated breach of financial covenants, payment default, cross-default, material litigation, regulatory action, change in ownership or management, or adverse change in collateral value.</w:t>
            </w:r>
          </w:p>
          <w:p>
            <w:pPr>
              <w:pStyle w:val="ListParagraph"/>
              <w:numPr>
                <w:ilvl w:val="0"/>
                <w:numId w:val="1"/>
              </w:numPr>
              <w:spacing w:after="60"/>
            </w:pPr>
            <w:r>
              <w:rPr>
                <w:rFonts w:ascii="Arial" w:cs="Arial" w:eastAsia="Arial" w:hAnsi="Arial"/>
                <w:sz w:val="20"/>
                <w:szCs w:val="20"/>
              </w:rPr>
              <w:t xml:space="preserve">Periodic confirmation of outstanding guarantees, letters of credit, capital commitments and related-party receivables. At 30 June 2026, these included letters of guarantee of QAR 290,515K, letters of credit of QAR 60,797K and capital commitments of QAR 15,806K (Source: SIIL -HY 2026-English Signed.pdf, p.23).</w:t>
            </w:r>
          </w:p>
          <w:p>
            <w:pPr>
              <w:pStyle w:val="ListParagraph"/>
              <w:numPr>
                <w:ilvl w:val="0"/>
                <w:numId w:val="1"/>
              </w:numPr>
              <w:spacing w:after="60"/>
            </w:pPr>
            <w:r>
              <w:rPr>
                <w:rFonts w:ascii="Arial" w:cs="Arial" w:eastAsia="Arial" w:hAnsi="Arial"/>
                <w:sz w:val="20"/>
                <w:szCs w:val="20"/>
              </w:rPr>
              <w:t xml:space="preserve">[Analyst to confirm: precise reporting deadlines, collateral valuation frequency, approved reporting format and responsible relationship contact.]</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Terms &amp; Conditions</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Facility: proposed demand loan of USD 10,000K, equivalent to QAR 36,500K, with a 25-year tenor and two-year availability period (Source: application form).</w:t>
            </w:r>
          </w:p>
          <w:p>
            <w:pPr>
              <w:pStyle w:val="ListParagraph"/>
              <w:numPr>
                <w:ilvl w:val="0"/>
                <w:numId w:val="1"/>
              </w:numPr>
              <w:spacing w:after="60"/>
            </w:pPr>
            <w:r>
              <w:rPr>
                <w:rFonts w:ascii="Arial" w:cs="Arial" w:eastAsia="Arial" w:hAnsi="Arial"/>
                <w:sz w:val="20"/>
                <w:szCs w:val="20"/>
              </w:rPr>
              <w:t xml:space="preserve">Pricing: 3M SOFR plus an unspecified margin, subject to a stated maximum all-in rate of 0.03%; commitment fee 0.50%, management fee 0.25% and prepayment fee 1.00% (Source: application form).</w:t>
            </w:r>
          </w:p>
          <w:p>
            <w:pPr>
              <w:pStyle w:val="ListParagraph"/>
              <w:numPr>
                <w:ilvl w:val="0"/>
                <w:numId w:val="1"/>
              </w:numPr>
              <w:spacing w:after="60"/>
            </w:pPr>
            <w:r>
              <w:rPr>
                <w:rFonts w:ascii="Arial" w:cs="Arial" w:eastAsia="Arial" w:hAnsi="Arial"/>
                <w:sz w:val="20"/>
                <w:szCs w:val="20"/>
              </w:rPr>
              <w:t xml:space="preserve">Governing law: Qatari Law. QCB approval for FX lending is identified as a regulatory prerequisite (Source: application form).</w:t>
            </w:r>
          </w:p>
          <w:p>
            <w:pPr>
              <w:pStyle w:val="ListParagraph"/>
              <w:numPr>
                <w:ilvl w:val="0"/>
                <w:numId w:val="1"/>
              </w:numPr>
              <w:spacing w:after="60"/>
            </w:pPr>
            <w:r>
              <w:rPr>
                <w:rFonts w:ascii="Arial" w:cs="Arial" w:eastAsia="Arial" w:hAnsi="Arial"/>
                <w:sz w:val="20"/>
                <w:szCs w:val="20"/>
              </w:rPr>
              <w:t xml:space="preserve">Audited financial statements to be submitted within [Analyst to confirm: required period] after each financial year-end. The latest audited FY2025 statements were issued with an unqualified KPMG opinion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w:t>
            </w:r>
          </w:p>
          <w:p>
            <w:pPr>
              <w:pStyle w:val="ListParagraph"/>
              <w:numPr>
                <w:ilvl w:val="0"/>
                <w:numId w:val="1"/>
              </w:numPr>
              <w:spacing w:after="60"/>
            </w:pPr>
            <w:r>
              <w:rPr>
                <w:rFonts w:ascii="Arial" w:cs="Arial" w:eastAsia="Arial" w:hAnsi="Arial"/>
                <w:sz w:val="20"/>
                <w:szCs w:val="20"/>
              </w:rPr>
              <w:t xml:space="preserve">Borrower to maintain adequate reserves and liquidity to meet all obligations. [Analyst to confirm: specific reserves undertaking and minimum liquidity requirement.]</w:t>
            </w:r>
          </w:p>
          <w:p>
            <w:pPr>
              <w:pStyle w:val="ListParagraph"/>
              <w:numPr>
                <w:ilvl w:val="0"/>
                <w:numId w:val="1"/>
              </w:numPr>
              <w:spacing w:after="60"/>
            </w:pPr>
            <w:r>
              <w:rPr>
                <w:rFonts w:ascii="Arial" w:cs="Arial" w:eastAsia="Arial" w:hAnsi="Arial"/>
                <w:sz w:val="20"/>
                <w:szCs w:val="20"/>
              </w:rPr>
              <w:t xml:space="preserve">Standard cross-default, no material adverse change, ownership/control, sanctions, illegality, information and KYC eligibility provisions to apply, subject to Legal and Compliance approval.</w:t>
            </w:r>
          </w:p>
          <w:p>
            <w:pPr>
              <w:pStyle w:val="ListParagraph"/>
              <w:numPr>
                <w:ilvl w:val="0"/>
                <w:numId w:val="1"/>
              </w:numPr>
              <w:spacing w:after="60"/>
            </w:pPr>
            <w:r>
              <w:rPr>
                <w:rFonts w:ascii="Arial" w:cs="Arial" w:eastAsia="Arial" w:hAnsi="Arial"/>
                <w:sz w:val="20"/>
                <w:szCs w:val="20"/>
              </w:rPr>
              <w:t xml:space="preserve">[Analyst to confirm: final risk rating, exact pricing margin, refinance carve-out, approved account structure and any exceptions.]</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Covenants</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[Analyst to confirm: whether a debt service reserve account is required, including the target amount, permitted investments, funding deadline, replenishment mechanics and release conditions.]</w:t>
            </w:r>
          </w:p>
          <w:p>
            <w:pPr>
              <w:pStyle w:val="ListParagraph"/>
              <w:numPr>
                <w:ilvl w:val="0"/>
                <w:numId w:val="1"/>
              </w:numPr>
              <w:spacing w:after="60"/>
            </w:pPr>
            <w:r>
              <w:rPr>
                <w:rFonts w:ascii="Arial" w:cs="Arial" w:eastAsia="Arial" w:hAnsi="Arial"/>
                <w:sz w:val="20"/>
                <w:szCs w:val="20"/>
              </w:rPr>
              <w:t xml:space="preserve">No side letters or undisclosed arrangements affecting repayment, security, ranking or collateral value without the Bank’s prior written consent. [Analyst to confirm whether any side letter exists.]</w:t>
            </w:r>
          </w:p>
          <w:p>
            <w:pPr>
              <w:pStyle w:val="ListParagraph"/>
              <w:numPr>
                <w:ilvl w:val="0"/>
                <w:numId w:val="1"/>
              </w:numPr>
              <w:spacing w:after="60"/>
            </w:pPr>
            <w:r>
              <w:rPr>
                <w:rFonts w:ascii="Arial" w:cs="Arial" w:eastAsia="Arial" w:hAnsi="Arial"/>
                <w:sz w:val="20"/>
                <w:szCs w:val="20"/>
              </w:rPr>
              <w:t xml:space="preserve">If the LTV reaches 75%, the borrower to provide additional eligible collateral or reduce exposure within the agreed cure period; at 85%, the Bank may liquidate collateral in accordance with the finance and security documents (Source: application form).</w:t>
            </w:r>
          </w:p>
          <w:p>
            <w:pPr>
              <w:pStyle w:val="ListParagraph"/>
              <w:numPr>
                <w:ilvl w:val="0"/>
                <w:numId w:val="1"/>
              </w:numPr>
              <w:spacing w:after="60"/>
            </w:pPr>
            <w:r>
              <w:rPr>
                <w:rFonts w:ascii="Arial" w:cs="Arial" w:eastAsia="Arial" w:hAnsi="Arial"/>
                <w:sz w:val="20"/>
                <w:szCs w:val="20"/>
              </w:rPr>
              <w:t xml:space="preserve">The facility to rank at least pari passu with the borrower’s other unsecured and unsubordinated financial indebtedness, subject to mandatory preferential claims and existing secured obligations. [Analyst to confirm: any agreed ranking or structural subordination.]</w:t>
            </w:r>
          </w:p>
          <w:p>
            <w:pPr>
              <w:pStyle w:val="ListParagraph"/>
              <w:numPr>
                <w:ilvl w:val="0"/>
                <w:numId w:val="1"/>
              </w:numPr>
              <w:spacing w:after="60"/>
            </w:pPr>
            <w:r>
              <w:rPr>
                <w:rFonts w:ascii="Arial" w:cs="Arial" w:eastAsia="Arial" w:hAnsi="Arial"/>
                <w:sz w:val="20"/>
                <w:szCs w:val="20"/>
              </w:rPr>
              <w:t xml:space="preserve">Financial covenant levels and testing frequency remain to be documented. The application form records FY2025 DSCR of 0.40x as weak, interest coverage of 2.37x as acceptable and leverage of 1.70x as acceptable (Source: application form).</w:t>
            </w:r>
          </w:p>
          <w:p>
            <w:pPr>
              <w:pStyle w:val="ListParagraph"/>
              <w:numPr>
                <w:ilvl w:val="0"/>
                <w:numId w:val="1"/>
              </w:numPr>
              <w:spacing w:after="60"/>
            </w:pPr>
            <w:r>
              <w:rPr>
                <w:rFonts w:ascii="Arial" w:cs="Arial" w:eastAsia="Arial" w:hAnsi="Arial"/>
                <w:sz w:val="20"/>
                <w:szCs w:val="20"/>
              </w:rPr>
              <w:t xml:space="preserve">[Analyst to confirm: treatment of collateral shortfalls, cure periods, valuation disputes, enforcement costs and application of liquidation proceeds.]</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Governing Law</w:t>
            </w:r>
          </w:p>
        </w:tc>
        <w:tc>
          <w:tcPr>
            <w:tcW w:type="pct" w:w="75%"/>
            <w:tcMar>
              <w:top w:type="dxa" w:w="40"/>
              <w:left w:type="dxa" w:w="80"/>
              <w:bottom w:type="dxa" w:w="40"/>
              <w:right w:type="dxa" w:w="80"/>
            </w:tcMar>
          </w:tcPr>
          <w:p>
            <w:r>
              <w:rPr>
                <w:rFonts w:ascii="Arial" w:cs="Arial" w:eastAsia="Arial" w:hAnsi="Arial"/>
                <w:sz w:val="18"/>
                <w:szCs w:val="18"/>
              </w:rPr>
              <w:t xml:space="preserve">Qatari Law</w:t>
            </w:r>
          </w:p>
        </w:tc>
      </w:tr>
    </w:tbl>
    <w:p>
      <w:pPr>
        <w:pStyle w:val="Heading1"/>
        <w:spacing w:after="120" w:before="240"/>
      </w:pPr>
      <w:r>
        <w:rPr>
          <w:rFonts w:ascii="Arial" w:cs="Arial" w:eastAsia="Arial" w:hAnsi="Arial"/>
          <w:b/>
          <w:bCs/>
          <w:color w:val="1F3864"/>
          <w:sz w:val="26"/>
          <w:szCs w:val="26"/>
        </w:rPr>
        <w:t xml:space="preserve">III. Borrower Background</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Salam International is identified in the financial statements as Salam International Investment Limited Q.P.S.C. and the FY2025 audited financial statements identify the entity as the borrower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 The financial information indicates activities spanning contract revenue, sale of goods, services and real estate revenue. In FY2025, revenue from contracts with customers was QAR 1,752, QAR 114,274K (sic) [Analyst to confirm unit presentation before use], while the extracted financial spread reports total revenue of QAR 1,866,204K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p.10; Source: SIIL FS March English 2025.pdf, p.4).</w:t>
      </w:r>
    </w:p>
    <w:p>
      <w:pPr>
        <w:spacing w:after="120"/>
        <w:jc w:val="both"/>
      </w:pPr>
      <w:r>
        <w:rPr>
          <w:rFonts w:ascii="Arial" w:cs="Arial" w:eastAsia="Arial" w:hAnsi="Arial"/>
          <w:sz w:val="20"/>
          <w:szCs w:val="20"/>
        </w:rPr>
        <w:t xml:space="preserve">The application identifies the account as a new account to be opened and does not provide the borrower’s licence, domicile, incorporation date, shareholding or ownership narrative (Source: application form). Management profiles and details of directors, beneficial owners and guarantors are also not included.</w:t>
      </w:r>
    </w:p>
    <w:p>
      <w:pPr>
        <w:spacing w:after="120"/>
        <w:jc w:val="both"/>
      </w:pPr>
      <w:r>
        <w:rPr>
          <w:rFonts w:ascii="Arial" w:cs="Arial" w:eastAsia="Arial" w:hAnsi="Arial"/>
          <w:sz w:val="20"/>
          <w:szCs w:val="20"/>
        </w:rPr>
        <w:t xml:space="preserve">[Analyst to confirm: licensed activities, ownership and controlling shareholders, group structure, related entities, board and senior management profiles, and rationale for the proposed private banking relationship.]</w:t>
      </w:r>
    </w:p>
    <w:p>
      <w:pPr>
        <w:pStyle w:val="Heading1"/>
        <w:spacing w:after="120" w:before="240"/>
      </w:pPr>
      <w:r>
        <w:rPr>
          <w:rFonts w:ascii="Arial" w:cs="Arial" w:eastAsia="Arial" w:hAnsi="Arial"/>
          <w:b/>
          <w:bCs/>
          <w:color w:val="1F3864"/>
          <w:sz w:val="26"/>
          <w:szCs w:val="26"/>
        </w:rPr>
        <w:t xml:space="preserve">IV. Industry Analysis</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available information indicates that the borrower operates across contract-based activities, sale of goods, services and real estate. Revenue from contracts with customers was concentrated in Qatar during 6M 2025, with QAR 669,400K generated in Qatar, representing approximately 80% of revenue from contracts with customers (Source: SIIL Group FS -EN 30 June 2025.pdf, p.23). The luxury retail and distribution segment generated QAR 330,800K of external revenue, approximately 39% of total revenue (Source: SIIL Group FS -EN 30 June 2025.pdf, p.23).</w:t>
      </w:r>
    </w:p>
    <w:p>
      <w:pPr>
        <w:spacing w:after="120"/>
        <w:jc w:val="both"/>
      </w:pPr>
      <w:r>
        <w:rPr>
          <w:rFonts w:ascii="Arial" w:cs="Arial" w:eastAsia="Arial" w:hAnsi="Arial"/>
          <w:sz w:val="20"/>
          <w:szCs w:val="20"/>
        </w:rPr>
        <w:t xml:space="preserve">Key identified challenges include exposure to regional economic and geopolitical developments, concentration in investment properties and sensitivity to property valuation assumptions. Investment properties represented approximately 50% of total assets in FY2025, and valuation was identified as a key audit matter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p.4). Investment properties valued at QAR 2,108,000K were mortgaged to a local bank at 30 June 2026, limiting unencumbered asset availability (Source: SIIL -HY 2026-English Signed.pdf, p.16).</w:t>
      </w:r>
    </w:p>
    <w:p>
      <w:pPr>
        <w:spacing w:after="120"/>
        <w:jc w:val="both"/>
      </w:pPr>
      <w:r>
        <w:rPr>
          <w:rFonts w:ascii="Arial" w:cs="Arial" w:eastAsia="Arial" w:hAnsi="Arial"/>
          <w:sz w:val="20"/>
          <w:szCs w:val="20"/>
        </w:rPr>
        <w:t xml:space="preserve">[Analyst to confirm: detailed sector outlook, competitive position, principal suppliers and customers, regulatory environment, market share and outlook for any guarantor. No guarantor information is provided.]</w:t>
      </w:r>
    </w:p>
    <w:p>
      <w:pPr>
        <w:pStyle w:val="Heading1"/>
        <w:spacing w:after="120" w:before="240"/>
      </w:pPr>
      <w:r>
        <w:rPr>
          <w:rFonts w:ascii="Arial" w:cs="Arial" w:eastAsia="Arial" w:hAnsi="Arial"/>
          <w:b/>
          <w:bCs/>
          <w:color w:val="1F3864"/>
          <w:sz w:val="26"/>
          <w:szCs w:val="26"/>
        </w:rPr>
        <w:t xml:space="preserve">V. Financial Analysis</w:t>
      </w:r>
    </w:p>
    <w:p>
      <w:pPr>
        <w:spacing w:after="120"/>
      </w:pPr>
      <w:r>
        <w:rPr>
          <w:rFonts w:ascii="Arial" w:cs="Arial" w:eastAsia="Arial" w:hAnsi="Arial"/>
          <w:b/>
          <w:bCs/>
          <w:sz w:val="20"/>
          <w:szCs w:val="20"/>
        </w:rPr>
        <w:t xml:space="preserve">Snapshot of Financial Performance — Salam International</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Company</w:t>
            </w:r>
          </w:p>
        </w:tc>
        <w:tc>
          <w:tcPr>
            <w:tcW w:type="pct" w:w="70%"/>
            <w:tcMar>
              <w:top w:type="dxa" w:w="40"/>
              <w:left w:type="dxa" w:w="80"/>
              <w:bottom w:type="dxa" w:w="40"/>
              <w:right w:type="dxa" w:w="80"/>
            </w:tcMar>
          </w:tcPr>
          <w:p>
            <w:r>
              <w:rPr>
                <w:rFonts w:ascii="Arial" w:cs="Arial" w:eastAsia="Arial" w:hAnsi="Arial"/>
                <w:sz w:val="18"/>
                <w:szCs w:val="18"/>
              </w:rPr>
              <w:t xml:space="preserve">Salam International</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Type of Accounts</w:t>
            </w:r>
          </w:p>
        </w:tc>
        <w:tc>
          <w:tcPr>
            <w:tcW w:type="pct" w:w="70%"/>
            <w:tcMar>
              <w:top w:type="dxa" w:w="40"/>
              <w:left w:type="dxa" w:w="80"/>
              <w:bottom w:type="dxa" w:w="40"/>
              <w:right w:type="dxa" w:w="80"/>
            </w:tcMar>
          </w:tcPr>
          <w:p>
            <w:r>
              <w:rPr>
                <w:rFonts w:ascii="Arial" w:cs="Arial" w:eastAsia="Arial" w:hAnsi="Arial"/>
                <w:sz w:val="18"/>
                <w:szCs w:val="18"/>
              </w:rPr>
              <w:t xml:space="preserve">audited, management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Currency / Unit</w:t>
            </w:r>
          </w:p>
        </w:tc>
        <w:tc>
          <w:tcPr>
            <w:tcW w:type="pct" w:w="70%"/>
            <w:tcMar>
              <w:top w:type="dxa" w:w="40"/>
              <w:left w:type="dxa" w:w="80"/>
              <w:bottom w:type="dxa" w:w="40"/>
              <w:right w:type="dxa" w:w="80"/>
            </w:tcMar>
          </w:tcPr>
          <w:p>
            <w:r>
              <w:rPr>
                <w:rFonts w:ascii="Arial" w:cs="Arial" w:eastAsia="Arial" w:hAnsi="Arial"/>
                <w:sz w:val="18"/>
                <w:szCs w:val="18"/>
              </w:rPr>
              <w:t xml:space="preserve">QAR 000s</w:t>
            </w:r>
          </w:p>
        </w:tc>
      </w:tr>
    </w:tbl>
    <w:p>
      <w:pPr>
        <w:spacing w:after="4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Line item</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Q1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2026</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2026</w:t>
            </w:r>
          </w:p>
        </w:tc>
      </w:tr>
      <w:tr>
        <w:tc>
          <w:tcPr>
            <w:tcMar>
              <w:top w:type="dxa" w:w="40"/>
              <w:left w:type="dxa" w:w="80"/>
              <w:bottom w:type="dxa" w:w="40"/>
              <w:right w:type="dxa" w:w="80"/>
            </w:tcMar>
          </w:tcPr>
          <w:p>
            <w:r>
              <w:rPr>
                <w:rFonts w:ascii="Arial" w:cs="Arial" w:eastAsia="Arial" w:hAnsi="Arial"/>
                <w:sz w:val="18"/>
                <w:szCs w:val="18"/>
              </w:rPr>
              <w:t xml:space="preserve">Revenue</w:t>
            </w:r>
          </w:p>
        </w:tc>
        <w:tc>
          <w:tcPr>
            <w:tcMar>
              <w:top w:type="dxa" w:w="40"/>
              <w:left w:type="dxa" w:w="80"/>
              <w:bottom w:type="dxa" w:w="40"/>
              <w:right w:type="dxa" w:w="80"/>
            </w:tcMar>
          </w:tcPr>
          <w:p>
            <w:pPr>
              <w:jc w:val="right"/>
            </w:pPr>
            <w:r>
              <w:rPr>
                <w:rFonts w:ascii="Arial" w:cs="Arial" w:eastAsia="Arial" w:hAnsi="Arial"/>
                <w:sz w:val="18"/>
                <w:szCs w:val="18"/>
              </w:rPr>
              <w:t xml:space="preserve">1,094,013</w:t>
            </w:r>
          </w:p>
        </w:tc>
        <w:tc>
          <w:tcPr>
            <w:tcMar>
              <w:top w:type="dxa" w:w="40"/>
              <w:left w:type="dxa" w:w="80"/>
              <w:bottom w:type="dxa" w:w="40"/>
              <w:right w:type="dxa" w:w="80"/>
            </w:tcMar>
          </w:tcPr>
          <w:p>
            <w:pPr>
              <w:jc w:val="right"/>
            </w:pPr>
            <w:r>
              <w:rPr>
                <w:rFonts w:ascii="Arial" w:cs="Arial" w:eastAsia="Arial" w:hAnsi="Arial"/>
                <w:sz w:val="18"/>
                <w:szCs w:val="18"/>
              </w:rPr>
              <w:t xml:space="preserve">1,538,594</w:t>
            </w:r>
          </w:p>
        </w:tc>
        <w:tc>
          <w:tcPr>
            <w:tcMar>
              <w:top w:type="dxa" w:w="40"/>
              <w:left w:type="dxa" w:w="80"/>
              <w:bottom w:type="dxa" w:w="40"/>
              <w:right w:type="dxa" w:w="80"/>
            </w:tcMar>
          </w:tcPr>
          <w:p>
            <w:pPr>
              <w:jc w:val="right"/>
            </w:pPr>
            <w:r>
              <w:rPr>
                <w:rFonts w:ascii="Arial" w:cs="Arial" w:eastAsia="Arial" w:hAnsi="Arial"/>
                <w:sz w:val="18"/>
                <w:szCs w:val="18"/>
              </w:rPr>
              <w:t xml:space="preserve">404,776</w:t>
            </w:r>
          </w:p>
        </w:tc>
        <w:tc>
          <w:tcPr>
            <w:tcMar>
              <w:top w:type="dxa" w:w="40"/>
              <w:left w:type="dxa" w:w="80"/>
              <w:bottom w:type="dxa" w:w="40"/>
              <w:right w:type="dxa" w:w="80"/>
            </w:tcMar>
          </w:tcPr>
          <w:p>
            <w:pPr>
              <w:jc w:val="right"/>
            </w:pPr>
            <w:r>
              <w:rPr>
                <w:rFonts w:ascii="Arial" w:cs="Arial" w:eastAsia="Arial" w:hAnsi="Arial"/>
                <w:sz w:val="18"/>
                <w:szCs w:val="18"/>
              </w:rPr>
              <w:t xml:space="preserve">852,017</w:t>
            </w:r>
          </w:p>
        </w:tc>
        <w:tc>
          <w:tcPr>
            <w:tcMar>
              <w:top w:type="dxa" w:w="40"/>
              <w:left w:type="dxa" w:w="80"/>
              <w:bottom w:type="dxa" w:w="40"/>
              <w:right w:type="dxa" w:w="80"/>
            </w:tcMar>
          </w:tcPr>
          <w:p>
            <w:pPr>
              <w:jc w:val="right"/>
            </w:pPr>
            <w:r>
              <w:rPr>
                <w:rFonts w:ascii="Arial" w:cs="Arial" w:eastAsia="Arial" w:hAnsi="Arial"/>
                <w:sz w:val="18"/>
                <w:szCs w:val="18"/>
              </w:rPr>
              <w:t xml:space="preserve">1,228,134</w:t>
            </w:r>
          </w:p>
        </w:tc>
        <w:tc>
          <w:tcPr>
            <w:tcMar>
              <w:top w:type="dxa" w:w="40"/>
              <w:left w:type="dxa" w:w="80"/>
              <w:bottom w:type="dxa" w:w="40"/>
              <w:right w:type="dxa" w:w="80"/>
            </w:tcMar>
          </w:tcPr>
          <w:p>
            <w:pPr>
              <w:jc w:val="right"/>
            </w:pPr>
            <w:r>
              <w:rPr>
                <w:rFonts w:ascii="Arial" w:cs="Arial" w:eastAsia="Arial" w:hAnsi="Arial"/>
                <w:sz w:val="18"/>
                <w:szCs w:val="18"/>
              </w:rPr>
              <w:t xml:space="preserve">1,683,946</w:t>
            </w:r>
          </w:p>
        </w:tc>
        <w:tc>
          <w:tcPr>
            <w:tcMar>
              <w:top w:type="dxa" w:w="40"/>
              <w:left w:type="dxa" w:w="80"/>
              <w:bottom w:type="dxa" w:w="40"/>
              <w:right w:type="dxa" w:w="80"/>
            </w:tcMar>
          </w:tcPr>
          <w:p>
            <w:pPr>
              <w:jc w:val="right"/>
            </w:pPr>
            <w:r>
              <w:rPr>
                <w:rFonts w:ascii="Arial" w:cs="Arial" w:eastAsia="Arial" w:hAnsi="Arial"/>
                <w:sz w:val="18"/>
                <w:szCs w:val="18"/>
              </w:rPr>
              <w:t xml:space="preserve">398,519</w:t>
            </w:r>
          </w:p>
        </w:tc>
        <w:tc>
          <w:tcPr>
            <w:tcMar>
              <w:top w:type="dxa" w:w="40"/>
              <w:left w:type="dxa" w:w="80"/>
              <w:bottom w:type="dxa" w:w="40"/>
              <w:right w:type="dxa" w:w="80"/>
            </w:tcMar>
          </w:tcPr>
          <w:p>
            <w:pPr>
              <w:jc w:val="right"/>
            </w:pPr>
            <w:r>
              <w:rPr>
                <w:rFonts w:ascii="Arial" w:cs="Arial" w:eastAsia="Arial" w:hAnsi="Arial"/>
                <w:sz w:val="18"/>
                <w:szCs w:val="18"/>
              </w:rPr>
              <w:t xml:space="preserve">838,159</w:t>
            </w:r>
          </w:p>
        </w:tc>
        <w:tc>
          <w:tcPr>
            <w:tcMar>
              <w:top w:type="dxa" w:w="40"/>
              <w:left w:type="dxa" w:w="80"/>
              <w:bottom w:type="dxa" w:w="40"/>
              <w:right w:type="dxa" w:w="80"/>
            </w:tcMar>
          </w:tcPr>
          <w:p>
            <w:pPr>
              <w:jc w:val="right"/>
            </w:pPr>
            <w:r>
              <w:rPr>
                <w:rFonts w:ascii="Arial" w:cs="Arial" w:eastAsia="Arial" w:hAnsi="Arial"/>
                <w:sz w:val="18"/>
                <w:szCs w:val="18"/>
              </w:rPr>
              <w:t xml:space="preserve">439,070</w:t>
            </w:r>
          </w:p>
        </w:tc>
        <w:tc>
          <w:tcPr>
            <w:tcMar>
              <w:top w:type="dxa" w:w="40"/>
              <w:left w:type="dxa" w:w="80"/>
              <w:bottom w:type="dxa" w:w="40"/>
              <w:right w:type="dxa" w:w="80"/>
            </w:tcMar>
          </w:tcPr>
          <w:p>
            <w:pPr>
              <w:jc w:val="right"/>
            </w:pPr>
            <w:r>
              <w:rPr>
                <w:rFonts w:ascii="Arial" w:cs="Arial" w:eastAsia="Arial" w:hAnsi="Arial"/>
                <w:sz w:val="18"/>
                <w:szCs w:val="18"/>
              </w:rPr>
              <w:t xml:space="preserve">1,316,680</w:t>
            </w:r>
          </w:p>
        </w:tc>
        <w:tc>
          <w:tcPr>
            <w:tcMar>
              <w:top w:type="dxa" w:w="40"/>
              <w:left w:type="dxa" w:w="80"/>
              <w:bottom w:type="dxa" w:w="40"/>
              <w:right w:type="dxa" w:w="80"/>
            </w:tcMar>
          </w:tcPr>
          <w:p>
            <w:pPr>
              <w:jc w:val="right"/>
            </w:pPr>
            <w:r>
              <w:rPr>
                <w:rFonts w:ascii="Arial" w:cs="Arial" w:eastAsia="Arial" w:hAnsi="Arial"/>
                <w:sz w:val="18"/>
                <w:szCs w:val="18"/>
              </w:rPr>
              <w:t xml:space="preserve">1,866,204</w:t>
            </w:r>
          </w:p>
        </w:tc>
        <w:tc>
          <w:tcPr>
            <w:tcMar>
              <w:top w:type="dxa" w:w="40"/>
              <w:left w:type="dxa" w:w="80"/>
              <w:bottom w:type="dxa" w:w="40"/>
              <w:right w:type="dxa" w:w="80"/>
            </w:tcMar>
          </w:tcPr>
          <w:p>
            <w:pPr>
              <w:jc w:val="right"/>
            </w:pPr>
            <w:r>
              <w:rPr>
                <w:rFonts w:ascii="Arial" w:cs="Arial" w:eastAsia="Arial" w:hAnsi="Arial"/>
                <w:sz w:val="18"/>
                <w:szCs w:val="18"/>
              </w:rPr>
              <w:t xml:space="preserve">430,571</w:t>
            </w:r>
          </w:p>
        </w:tc>
        <w:tc>
          <w:tcPr>
            <w:tcMar>
              <w:top w:type="dxa" w:w="40"/>
              <w:left w:type="dxa" w:w="80"/>
              <w:bottom w:type="dxa" w:w="40"/>
              <w:right w:type="dxa" w:w="80"/>
            </w:tcMar>
          </w:tcPr>
          <w:p>
            <w:pPr>
              <w:jc w:val="right"/>
            </w:pPr>
            <w:r>
              <w:rPr>
                <w:rFonts w:ascii="Arial" w:cs="Arial" w:eastAsia="Arial" w:hAnsi="Arial"/>
                <w:sz w:val="18"/>
                <w:szCs w:val="18"/>
              </w:rPr>
              <w:t xml:space="preserve">866,754</w:t>
            </w:r>
          </w:p>
        </w:tc>
      </w:tr>
      <w:tr>
        <w:tc>
          <w:tcPr>
            <w:tcMar>
              <w:top w:type="dxa" w:w="40"/>
              <w:left w:type="dxa" w:w="80"/>
              <w:bottom w:type="dxa" w:w="40"/>
              <w:right w:type="dxa" w:w="80"/>
            </w:tcMar>
          </w:tcPr>
          <w:p>
            <w:r>
              <w:rPr>
                <w:rFonts w:ascii="Arial" w:cs="Arial" w:eastAsia="Arial" w:hAnsi="Arial"/>
                <w:sz w:val="18"/>
                <w:szCs w:val="18"/>
              </w:rPr>
              <w:t xml:space="preserve">Total assets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4,457,943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4,449,036</w:t>
            </w:r>
          </w:p>
        </w:tc>
        <w:tc>
          <w:tcPr>
            <w:tcMar>
              <w:top w:type="dxa" w:w="40"/>
              <w:left w:type="dxa" w:w="80"/>
              <w:bottom w:type="dxa" w:w="40"/>
              <w:right w:type="dxa" w:w="80"/>
            </w:tcMar>
          </w:tcPr>
          <w:p>
            <w:pPr>
              <w:jc w:val="right"/>
            </w:pPr>
            <w:r>
              <w:rPr>
                <w:rFonts w:ascii="Arial" w:cs="Arial" w:eastAsia="Arial" w:hAnsi="Arial"/>
                <w:sz w:val="18"/>
                <w:szCs w:val="18"/>
              </w:rPr>
              <w:t xml:space="preserve">4,532,487</w:t>
            </w:r>
          </w:p>
        </w:tc>
        <w:tc>
          <w:tcPr>
            <w:tcMar>
              <w:top w:type="dxa" w:w="40"/>
              <w:left w:type="dxa" w:w="80"/>
              <w:bottom w:type="dxa" w:w="40"/>
              <w:right w:type="dxa" w:w="80"/>
            </w:tcMar>
          </w:tcPr>
          <w:p>
            <w:pPr>
              <w:jc w:val="right"/>
            </w:pPr>
            <w:r>
              <w:rPr>
                <w:rFonts w:ascii="Arial" w:cs="Arial" w:eastAsia="Arial" w:hAnsi="Arial"/>
                <w:sz w:val="18"/>
                <w:szCs w:val="18"/>
              </w:rPr>
              <w:t xml:space="preserve">4,529,151</w:t>
            </w:r>
          </w:p>
        </w:tc>
        <w:tc>
          <w:tcPr>
            <w:tcMar>
              <w:top w:type="dxa" w:w="40"/>
              <w:left w:type="dxa" w:w="80"/>
              <w:bottom w:type="dxa" w:w="40"/>
              <w:right w:type="dxa" w:w="80"/>
            </w:tcMar>
          </w:tcPr>
          <w:p>
            <w:pPr>
              <w:jc w:val="right"/>
            </w:pPr>
            <w:r>
              <w:rPr>
                <w:rFonts w:ascii="Arial" w:cs="Arial" w:eastAsia="Arial" w:hAnsi="Arial"/>
                <w:sz w:val="18"/>
                <w:szCs w:val="18"/>
              </w:rPr>
              <w:t xml:space="preserve">4,589,197</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4,630,987</w:t>
            </w:r>
          </w:p>
        </w:tc>
        <w:tc>
          <w:tcPr>
            <w:tcMar>
              <w:top w:type="dxa" w:w="40"/>
              <w:left w:type="dxa" w:w="80"/>
              <w:bottom w:type="dxa" w:w="40"/>
              <w:right w:type="dxa" w:w="80"/>
            </w:tcMar>
          </w:tcPr>
          <w:p>
            <w:pPr>
              <w:jc w:val="right"/>
            </w:pPr>
            <w:r>
              <w:rPr>
                <w:rFonts w:ascii="Arial" w:cs="Arial" w:eastAsia="Arial" w:hAnsi="Arial"/>
                <w:sz w:val="18"/>
                <w:szCs w:val="18"/>
              </w:rPr>
              <w:t xml:space="preserve">4,689,477</w:t>
            </w:r>
          </w:p>
        </w:tc>
        <w:tc>
          <w:tcPr>
            <w:tcMar>
              <w:top w:type="dxa" w:w="40"/>
              <w:left w:type="dxa" w:w="80"/>
              <w:bottom w:type="dxa" w:w="40"/>
              <w:right w:type="dxa" w:w="80"/>
            </w:tcMar>
          </w:tcPr>
          <w:p>
            <w:pPr>
              <w:jc w:val="right"/>
            </w:pPr>
            <w:r>
              <w:rPr>
                <w:rFonts w:ascii="Arial" w:cs="Arial" w:eastAsia="Arial" w:hAnsi="Arial"/>
                <w:sz w:val="18"/>
                <w:szCs w:val="18"/>
              </w:rPr>
              <w:t xml:space="preserve">4,637,056</w:t>
            </w:r>
          </w:p>
        </w:tc>
        <w:tc>
          <w:tcPr>
            <w:tcMar>
              <w:top w:type="dxa" w:w="40"/>
              <w:left w:type="dxa" w:w="80"/>
              <w:bottom w:type="dxa" w:w="40"/>
              <w:right w:type="dxa" w:w="80"/>
            </w:tcMar>
          </w:tcPr>
          <w:p>
            <w:pPr>
              <w:jc w:val="right"/>
            </w:pPr>
            <w:r>
              <w:rPr>
                <w:rFonts w:ascii="Arial" w:cs="Arial" w:eastAsia="Arial" w:hAnsi="Arial"/>
                <w:sz w:val="18"/>
                <w:szCs w:val="18"/>
              </w:rPr>
              <w:t xml:space="preserve">4,474,136</w:t>
            </w:r>
          </w:p>
        </w:tc>
      </w:tr>
      <w:tr>
        <w:tc>
          <w:tcPr>
            <w:tcMar>
              <w:top w:type="dxa" w:w="40"/>
              <w:left w:type="dxa" w:w="80"/>
              <w:bottom w:type="dxa" w:w="40"/>
              <w:right w:type="dxa" w:w="80"/>
            </w:tcMar>
          </w:tcPr>
          <w:p>
            <w:r>
              <w:rPr>
                <w:rFonts w:ascii="Arial" w:cs="Arial" w:eastAsia="Arial" w:hAnsi="Arial"/>
                <w:sz w:val="18"/>
                <w:szCs w:val="18"/>
              </w:rPr>
              <w:t xml:space="preserve">Cost of sales</w:t>
            </w:r>
          </w:p>
        </w:tc>
        <w:tc>
          <w:tcPr>
            <w:tcMar>
              <w:top w:type="dxa" w:w="40"/>
              <w:left w:type="dxa" w:w="80"/>
              <w:bottom w:type="dxa" w:w="40"/>
              <w:right w:type="dxa" w:w="80"/>
            </w:tcMar>
          </w:tcPr>
          <w:p>
            <w:pPr>
              <w:jc w:val="right"/>
            </w:pPr>
            <w:r>
              <w:rPr>
                <w:rFonts w:ascii="Arial" w:cs="Arial" w:eastAsia="Arial" w:hAnsi="Arial"/>
                <w:sz w:val="18"/>
                <w:szCs w:val="18"/>
              </w:rPr>
              <w:t xml:space="preserve">-761,405</w:t>
            </w:r>
          </w:p>
        </w:tc>
        <w:tc>
          <w:tcPr>
            <w:tcMar>
              <w:top w:type="dxa" w:w="40"/>
              <w:left w:type="dxa" w:w="80"/>
              <w:bottom w:type="dxa" w:w="40"/>
              <w:right w:type="dxa" w:w="80"/>
            </w:tcMar>
          </w:tcPr>
          <w:p>
            <w:pPr>
              <w:jc w:val="right"/>
            </w:pPr>
            <w:r>
              <w:rPr>
                <w:rFonts w:ascii="Arial" w:cs="Arial" w:eastAsia="Arial" w:hAnsi="Arial"/>
                <w:sz w:val="18"/>
                <w:szCs w:val="18"/>
              </w:rPr>
              <w:t xml:space="preserve">-1,078,947</w:t>
            </w:r>
          </w:p>
        </w:tc>
        <w:tc>
          <w:tcPr>
            <w:tcMar>
              <w:top w:type="dxa" w:w="40"/>
              <w:left w:type="dxa" w:w="80"/>
              <w:bottom w:type="dxa" w:w="40"/>
              <w:right w:type="dxa" w:w="80"/>
            </w:tcMar>
          </w:tcPr>
          <w:p>
            <w:pPr>
              <w:jc w:val="right"/>
            </w:pPr>
            <w:r>
              <w:rPr>
                <w:rFonts w:ascii="Arial" w:cs="Arial" w:eastAsia="Arial" w:hAnsi="Arial"/>
                <w:sz w:val="18"/>
                <w:szCs w:val="18"/>
              </w:rPr>
              <w:t xml:space="preserve">-287,693</w:t>
            </w:r>
          </w:p>
        </w:tc>
        <w:tc>
          <w:tcPr>
            <w:tcMar>
              <w:top w:type="dxa" w:w="40"/>
              <w:left w:type="dxa" w:w="80"/>
              <w:bottom w:type="dxa" w:w="40"/>
              <w:right w:type="dxa" w:w="80"/>
            </w:tcMar>
          </w:tcPr>
          <w:p>
            <w:pPr>
              <w:jc w:val="right"/>
            </w:pPr>
            <w:r>
              <w:rPr>
                <w:rFonts w:ascii="Arial" w:cs="Arial" w:eastAsia="Arial" w:hAnsi="Arial"/>
                <w:sz w:val="18"/>
                <w:szCs w:val="18"/>
              </w:rPr>
              <w:t xml:space="preserve">-610,907</w:t>
            </w:r>
          </w:p>
        </w:tc>
        <w:tc>
          <w:tcPr>
            <w:tcMar>
              <w:top w:type="dxa" w:w="40"/>
              <w:left w:type="dxa" w:w="80"/>
              <w:bottom w:type="dxa" w:w="40"/>
              <w:right w:type="dxa" w:w="80"/>
            </w:tcMar>
          </w:tcPr>
          <w:p>
            <w:pPr>
              <w:jc w:val="right"/>
            </w:pPr>
            <w:r>
              <w:rPr>
                <w:rFonts w:ascii="Arial" w:cs="Arial" w:eastAsia="Arial" w:hAnsi="Arial"/>
                <w:sz w:val="18"/>
                <w:szCs w:val="18"/>
              </w:rPr>
              <w:t xml:space="preserve">-883,319</w:t>
            </w:r>
          </w:p>
        </w:tc>
        <w:tc>
          <w:tcPr>
            <w:tcMar>
              <w:top w:type="dxa" w:w="40"/>
              <w:left w:type="dxa" w:w="80"/>
              <w:bottom w:type="dxa" w:w="40"/>
              <w:right w:type="dxa" w:w="80"/>
            </w:tcMar>
          </w:tcPr>
          <w:p>
            <w:pPr>
              <w:jc w:val="right"/>
            </w:pPr>
            <w:r>
              <w:rPr>
                <w:rFonts w:ascii="Arial" w:cs="Arial" w:eastAsia="Arial" w:hAnsi="Arial"/>
                <w:sz w:val="18"/>
                <w:szCs w:val="18"/>
              </w:rPr>
              <w:t xml:space="preserve">-1,216,002</w:t>
            </w:r>
          </w:p>
        </w:tc>
        <w:tc>
          <w:tcPr>
            <w:tcMar>
              <w:top w:type="dxa" w:w="40"/>
              <w:left w:type="dxa" w:w="80"/>
              <w:bottom w:type="dxa" w:w="40"/>
              <w:right w:type="dxa" w:w="80"/>
            </w:tcMar>
          </w:tcPr>
          <w:p>
            <w:pPr>
              <w:jc w:val="right"/>
            </w:pPr>
            <w:r>
              <w:rPr>
                <w:rFonts w:ascii="Arial" w:cs="Arial" w:eastAsia="Arial" w:hAnsi="Arial"/>
                <w:sz w:val="18"/>
                <w:szCs w:val="18"/>
              </w:rPr>
              <w:t xml:space="preserve">-281,011</w:t>
            </w:r>
          </w:p>
        </w:tc>
        <w:tc>
          <w:tcPr>
            <w:tcMar>
              <w:top w:type="dxa" w:w="40"/>
              <w:left w:type="dxa" w:w="80"/>
              <w:bottom w:type="dxa" w:w="40"/>
              <w:right w:type="dxa" w:w="80"/>
            </w:tcMar>
          </w:tcPr>
          <w:p>
            <w:pPr>
              <w:jc w:val="right"/>
            </w:pPr>
            <w:r>
              <w:rPr>
                <w:rFonts w:ascii="Arial" w:cs="Arial" w:eastAsia="Arial" w:hAnsi="Arial"/>
                <w:sz w:val="18"/>
                <w:szCs w:val="18"/>
              </w:rPr>
              <w:t xml:space="preserve">-602,530</w:t>
            </w:r>
          </w:p>
        </w:tc>
        <w:tc>
          <w:tcPr>
            <w:tcMar>
              <w:top w:type="dxa" w:w="40"/>
              <w:left w:type="dxa" w:w="80"/>
              <w:bottom w:type="dxa" w:w="40"/>
              <w:right w:type="dxa" w:w="80"/>
            </w:tcMar>
          </w:tcPr>
          <w:p>
            <w:pPr>
              <w:jc w:val="right"/>
            </w:pPr>
            <w:r>
              <w:rPr>
                <w:rFonts w:ascii="Arial" w:cs="Arial" w:eastAsia="Arial" w:hAnsi="Arial"/>
                <w:sz w:val="18"/>
                <w:szCs w:val="18"/>
              </w:rPr>
              <w:t xml:space="preserve">-321,628</w:t>
            </w:r>
          </w:p>
        </w:tc>
        <w:tc>
          <w:tcPr>
            <w:tcMar>
              <w:top w:type="dxa" w:w="40"/>
              <w:left w:type="dxa" w:w="80"/>
              <w:bottom w:type="dxa" w:w="40"/>
              <w:right w:type="dxa" w:w="80"/>
            </w:tcMar>
          </w:tcPr>
          <w:p>
            <w:pPr>
              <w:jc w:val="right"/>
            </w:pPr>
            <w:r>
              <w:rPr>
                <w:rFonts w:ascii="Arial" w:cs="Arial" w:eastAsia="Arial" w:hAnsi="Arial"/>
                <w:sz w:val="18"/>
                <w:szCs w:val="18"/>
              </w:rPr>
              <w:t xml:space="preserve">-956,586</w:t>
            </w:r>
          </w:p>
        </w:tc>
        <w:tc>
          <w:tcPr>
            <w:tcMar>
              <w:top w:type="dxa" w:w="40"/>
              <w:left w:type="dxa" w:w="80"/>
              <w:bottom w:type="dxa" w:w="40"/>
              <w:right w:type="dxa" w:w="80"/>
            </w:tcMar>
          </w:tcPr>
          <w:p>
            <w:pPr>
              <w:jc w:val="right"/>
            </w:pPr>
            <w:r>
              <w:rPr>
                <w:rFonts w:ascii="Arial" w:cs="Arial" w:eastAsia="Arial" w:hAnsi="Arial"/>
                <w:sz w:val="18"/>
                <w:szCs w:val="18"/>
              </w:rPr>
              <w:t xml:space="preserve">-1,363,351</w:t>
            </w:r>
          </w:p>
        </w:tc>
        <w:tc>
          <w:tcPr>
            <w:tcMar>
              <w:top w:type="dxa" w:w="40"/>
              <w:left w:type="dxa" w:w="80"/>
              <w:bottom w:type="dxa" w:w="40"/>
              <w:right w:type="dxa" w:w="80"/>
            </w:tcMar>
          </w:tcPr>
          <w:p>
            <w:pPr>
              <w:jc w:val="right"/>
            </w:pPr>
            <w:r>
              <w:rPr>
                <w:rFonts w:ascii="Arial" w:cs="Arial" w:eastAsia="Arial" w:hAnsi="Arial"/>
                <w:sz w:val="18"/>
                <w:szCs w:val="18"/>
              </w:rPr>
              <w:t xml:space="preserve">-305,915</w:t>
            </w:r>
          </w:p>
        </w:tc>
        <w:tc>
          <w:tcPr>
            <w:tcMar>
              <w:top w:type="dxa" w:w="40"/>
              <w:left w:type="dxa" w:w="80"/>
              <w:bottom w:type="dxa" w:w="40"/>
              <w:right w:type="dxa" w:w="80"/>
            </w:tcMar>
          </w:tcPr>
          <w:p>
            <w:pPr>
              <w:jc w:val="right"/>
            </w:pPr>
            <w:r>
              <w:rPr>
                <w:rFonts w:ascii="Arial" w:cs="Arial" w:eastAsia="Arial" w:hAnsi="Arial"/>
                <w:sz w:val="18"/>
                <w:szCs w:val="18"/>
              </w:rPr>
              <w:t xml:space="preserve">-614,942</w:t>
            </w:r>
          </w:p>
        </w:tc>
      </w:tr>
      <w:tr>
        <w:tc>
          <w:tcPr>
            <w:tcMar>
              <w:top w:type="dxa" w:w="40"/>
              <w:left w:type="dxa" w:w="80"/>
              <w:bottom w:type="dxa" w:w="40"/>
              <w:right w:type="dxa" w:w="80"/>
            </w:tcMar>
          </w:tcPr>
          <w:p>
            <w:r>
              <w:rPr>
                <w:rFonts w:ascii="Arial" w:cs="Arial" w:eastAsia="Arial" w:hAnsi="Arial"/>
                <w:sz w:val="18"/>
                <w:szCs w:val="18"/>
              </w:rPr>
              <w:t xml:space="preserve">Current assets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1,442,012</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1,371,805</w:t>
            </w:r>
          </w:p>
        </w:tc>
        <w:tc>
          <w:tcPr>
            <w:tcMar>
              <w:top w:type="dxa" w:w="40"/>
              <w:left w:type="dxa" w:w="80"/>
              <w:bottom w:type="dxa" w:w="40"/>
              <w:right w:type="dxa" w:w="80"/>
            </w:tcMar>
          </w:tcPr>
          <w:p>
            <w:pPr>
              <w:jc w:val="right"/>
            </w:pPr>
            <w:r>
              <w:rPr>
                <w:rFonts w:ascii="Arial" w:cs="Arial" w:eastAsia="Arial" w:hAnsi="Arial"/>
                <w:sz w:val="18"/>
                <w:szCs w:val="18"/>
              </w:rPr>
              <w:t xml:space="preserve">1,418,632</w:t>
            </w:r>
          </w:p>
        </w:tc>
        <w:tc>
          <w:tcPr>
            <w:tcMar>
              <w:top w:type="dxa" w:w="40"/>
              <w:left w:type="dxa" w:w="80"/>
              <w:bottom w:type="dxa" w:w="40"/>
              <w:right w:type="dxa" w:w="80"/>
            </w:tcMar>
          </w:tcPr>
          <w:p>
            <w:pPr>
              <w:jc w:val="right"/>
            </w:pPr>
            <w:r>
              <w:rPr>
                <w:rFonts w:ascii="Arial" w:cs="Arial" w:eastAsia="Arial" w:hAnsi="Arial"/>
                <w:sz w:val="18"/>
                <w:szCs w:val="18"/>
              </w:rPr>
              <w:t xml:space="preserve">1,389,955</w:t>
            </w:r>
          </w:p>
        </w:tc>
        <w:tc>
          <w:tcPr>
            <w:tcMar>
              <w:top w:type="dxa" w:w="40"/>
              <w:left w:type="dxa" w:w="80"/>
              <w:bottom w:type="dxa" w:w="40"/>
              <w:right w:type="dxa" w:w="80"/>
            </w:tcMar>
          </w:tcPr>
          <w:p>
            <w:pPr>
              <w:jc w:val="right"/>
            </w:pPr>
            <w:r>
              <w:rPr>
                <w:rFonts w:ascii="Arial" w:cs="Arial" w:eastAsia="Arial" w:hAnsi="Arial"/>
                <w:sz w:val="18"/>
                <w:szCs w:val="18"/>
              </w:rPr>
              <w:t xml:space="preserve">1,437,536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1,464,271</w:t>
            </w:r>
          </w:p>
        </w:tc>
        <w:tc>
          <w:tcPr>
            <w:tcMar>
              <w:top w:type="dxa" w:w="40"/>
              <w:left w:type="dxa" w:w="80"/>
              <w:bottom w:type="dxa" w:w="40"/>
              <w:right w:type="dxa" w:w="80"/>
            </w:tcMar>
          </w:tcPr>
          <w:p>
            <w:pPr>
              <w:jc w:val="right"/>
            </w:pPr>
            <w:r>
              <w:rPr>
                <w:rFonts w:ascii="Arial" w:cs="Arial" w:eastAsia="Arial" w:hAnsi="Arial"/>
                <w:sz w:val="18"/>
                <w:szCs w:val="18"/>
              </w:rPr>
              <w:t xml:space="preserve">1,547,938</w:t>
            </w:r>
          </w:p>
        </w:tc>
        <w:tc>
          <w:tcPr>
            <w:tcMar>
              <w:top w:type="dxa" w:w="40"/>
              <w:left w:type="dxa" w:w="80"/>
              <w:bottom w:type="dxa" w:w="40"/>
              <w:right w:type="dxa" w:w="80"/>
            </w:tcMar>
          </w:tcPr>
          <w:p>
            <w:pPr>
              <w:jc w:val="right"/>
            </w:pPr>
            <w:r>
              <w:rPr>
                <w:rFonts w:ascii="Arial" w:cs="Arial" w:eastAsia="Arial" w:hAnsi="Arial"/>
                <w:sz w:val="18"/>
                <w:szCs w:val="18"/>
              </w:rPr>
              <w:t xml:space="preserve">1,497,920</w:t>
            </w:r>
          </w:p>
        </w:tc>
        <w:tc>
          <w:tcPr>
            <w:tcMar>
              <w:top w:type="dxa" w:w="40"/>
              <w:left w:type="dxa" w:w="80"/>
              <w:bottom w:type="dxa" w:w="40"/>
              <w:right w:type="dxa" w:w="80"/>
            </w:tcMar>
          </w:tcPr>
          <w:p>
            <w:pPr>
              <w:jc w:val="right"/>
            </w:pPr>
            <w:r>
              <w:rPr>
                <w:rFonts w:ascii="Arial" w:cs="Arial" w:eastAsia="Arial" w:hAnsi="Arial"/>
                <w:sz w:val="18"/>
                <w:szCs w:val="18"/>
              </w:rPr>
              <w:t xml:space="preserve">1,327,334</w:t>
            </w:r>
          </w:p>
        </w:tc>
      </w:tr>
      <w:tr>
        <w:tc>
          <w:tcPr>
            <w:tcMar>
              <w:top w:type="dxa" w:w="40"/>
              <w:left w:type="dxa" w:w="80"/>
              <w:bottom w:type="dxa" w:w="40"/>
              <w:right w:type="dxa" w:w="80"/>
            </w:tcMar>
          </w:tcPr>
          <w:p>
            <w:r>
              <w:rPr>
                <w:rFonts w:ascii="Arial" w:cs="Arial" w:eastAsia="Arial" w:hAnsi="Arial"/>
                <w:sz w:val="18"/>
                <w:szCs w:val="18"/>
              </w:rPr>
              <w:t xml:space="preserve">Gross profit</w:t>
            </w:r>
          </w:p>
        </w:tc>
        <w:tc>
          <w:tcPr>
            <w:tcMar>
              <w:top w:type="dxa" w:w="40"/>
              <w:left w:type="dxa" w:w="80"/>
              <w:bottom w:type="dxa" w:w="40"/>
              <w:right w:type="dxa" w:w="80"/>
            </w:tcMar>
          </w:tcPr>
          <w:p>
            <w:pPr>
              <w:jc w:val="right"/>
            </w:pPr>
            <w:r>
              <w:rPr>
                <w:rFonts w:ascii="Arial" w:cs="Arial" w:eastAsia="Arial" w:hAnsi="Arial"/>
                <w:sz w:val="18"/>
                <w:szCs w:val="18"/>
              </w:rPr>
              <w:t xml:space="preserve">332,608</w:t>
            </w:r>
          </w:p>
        </w:tc>
        <w:tc>
          <w:tcPr>
            <w:tcMar>
              <w:top w:type="dxa" w:w="40"/>
              <w:left w:type="dxa" w:w="80"/>
              <w:bottom w:type="dxa" w:w="40"/>
              <w:right w:type="dxa" w:w="80"/>
            </w:tcMar>
          </w:tcPr>
          <w:p>
            <w:pPr>
              <w:jc w:val="right"/>
            </w:pPr>
            <w:r>
              <w:rPr>
                <w:rFonts w:ascii="Arial" w:cs="Arial" w:eastAsia="Arial" w:hAnsi="Arial"/>
                <w:sz w:val="18"/>
                <w:szCs w:val="18"/>
              </w:rPr>
              <w:t xml:space="preserve">459,646</w:t>
            </w:r>
          </w:p>
        </w:tc>
        <w:tc>
          <w:tcPr>
            <w:tcMar>
              <w:top w:type="dxa" w:w="40"/>
              <w:left w:type="dxa" w:w="80"/>
              <w:bottom w:type="dxa" w:w="40"/>
              <w:right w:type="dxa" w:w="80"/>
            </w:tcMar>
          </w:tcPr>
          <w:p>
            <w:pPr>
              <w:jc w:val="right"/>
            </w:pPr>
            <w:r>
              <w:rPr>
                <w:rFonts w:ascii="Arial" w:cs="Arial" w:eastAsia="Arial" w:hAnsi="Arial"/>
                <w:sz w:val="18"/>
                <w:szCs w:val="18"/>
              </w:rPr>
              <w:t xml:space="preserve">117,083</w:t>
            </w:r>
          </w:p>
        </w:tc>
        <w:tc>
          <w:tcPr>
            <w:tcMar>
              <w:top w:type="dxa" w:w="40"/>
              <w:left w:type="dxa" w:w="80"/>
              <w:bottom w:type="dxa" w:w="40"/>
              <w:right w:type="dxa" w:w="80"/>
            </w:tcMar>
          </w:tcPr>
          <w:p>
            <w:pPr>
              <w:jc w:val="right"/>
            </w:pPr>
            <w:r>
              <w:rPr>
                <w:rFonts w:ascii="Arial" w:cs="Arial" w:eastAsia="Arial" w:hAnsi="Arial"/>
                <w:sz w:val="18"/>
                <w:szCs w:val="18"/>
              </w:rPr>
              <w:t xml:space="preserve">241,110</w:t>
            </w:r>
          </w:p>
        </w:tc>
        <w:tc>
          <w:tcPr>
            <w:tcMar>
              <w:top w:type="dxa" w:w="40"/>
              <w:left w:type="dxa" w:w="80"/>
              <w:bottom w:type="dxa" w:w="40"/>
              <w:right w:type="dxa" w:w="80"/>
            </w:tcMar>
          </w:tcPr>
          <w:p>
            <w:pPr>
              <w:jc w:val="right"/>
            </w:pPr>
            <w:r>
              <w:rPr>
                <w:rFonts w:ascii="Arial" w:cs="Arial" w:eastAsia="Arial" w:hAnsi="Arial"/>
                <w:sz w:val="18"/>
                <w:szCs w:val="18"/>
              </w:rPr>
              <w:t xml:space="preserve">344,816</w:t>
            </w:r>
          </w:p>
        </w:tc>
        <w:tc>
          <w:tcPr>
            <w:tcMar>
              <w:top w:type="dxa" w:w="40"/>
              <w:left w:type="dxa" w:w="80"/>
              <w:bottom w:type="dxa" w:w="40"/>
              <w:right w:type="dxa" w:w="80"/>
            </w:tcMar>
          </w:tcPr>
          <w:p>
            <w:pPr>
              <w:jc w:val="right"/>
            </w:pPr>
            <w:r>
              <w:rPr>
                <w:rFonts w:ascii="Arial" w:cs="Arial" w:eastAsia="Arial" w:hAnsi="Arial"/>
                <w:sz w:val="18"/>
                <w:szCs w:val="18"/>
              </w:rPr>
              <w:t xml:space="preserve">467,943</w:t>
            </w:r>
          </w:p>
        </w:tc>
        <w:tc>
          <w:tcPr>
            <w:tcMar>
              <w:top w:type="dxa" w:w="40"/>
              <w:left w:type="dxa" w:w="80"/>
              <w:bottom w:type="dxa" w:w="40"/>
              <w:right w:type="dxa" w:w="80"/>
            </w:tcMar>
          </w:tcPr>
          <w:p>
            <w:pPr>
              <w:jc w:val="right"/>
            </w:pPr>
            <w:r>
              <w:rPr>
                <w:rFonts w:ascii="Arial" w:cs="Arial" w:eastAsia="Arial" w:hAnsi="Arial"/>
                <w:sz w:val="18"/>
                <w:szCs w:val="18"/>
              </w:rPr>
              <w:t xml:space="preserve">117,508</w:t>
            </w:r>
          </w:p>
        </w:tc>
        <w:tc>
          <w:tcPr>
            <w:tcMar>
              <w:top w:type="dxa" w:w="40"/>
              <w:left w:type="dxa" w:w="80"/>
              <w:bottom w:type="dxa" w:w="40"/>
              <w:right w:type="dxa" w:w="80"/>
            </w:tcMar>
          </w:tcPr>
          <w:p>
            <w:pPr>
              <w:jc w:val="right"/>
            </w:pPr>
            <w:r>
              <w:rPr>
                <w:rFonts w:ascii="Arial" w:cs="Arial" w:eastAsia="Arial" w:hAnsi="Arial"/>
                <w:sz w:val="18"/>
                <w:szCs w:val="18"/>
              </w:rPr>
              <w:t xml:space="preserve">235,629</w:t>
            </w:r>
          </w:p>
        </w:tc>
        <w:tc>
          <w:tcPr>
            <w:tcMar>
              <w:top w:type="dxa" w:w="40"/>
              <w:left w:type="dxa" w:w="80"/>
              <w:bottom w:type="dxa" w:w="40"/>
              <w:right w:type="dxa" w:w="80"/>
            </w:tcMar>
          </w:tcPr>
          <w:p>
            <w:pPr>
              <w:jc w:val="right"/>
            </w:pPr>
            <w:r>
              <w:rPr>
                <w:rFonts w:ascii="Arial" w:cs="Arial" w:eastAsia="Arial" w:hAnsi="Arial"/>
                <w:sz w:val="18"/>
                <w:szCs w:val="18"/>
              </w:rPr>
              <w:t xml:space="preserve">117,443</w:t>
            </w:r>
          </w:p>
        </w:tc>
        <w:tc>
          <w:tcPr>
            <w:tcMar>
              <w:top w:type="dxa" w:w="40"/>
              <w:left w:type="dxa" w:w="80"/>
              <w:bottom w:type="dxa" w:w="40"/>
              <w:right w:type="dxa" w:w="80"/>
            </w:tcMar>
          </w:tcPr>
          <w:p>
            <w:pPr>
              <w:jc w:val="right"/>
            </w:pPr>
            <w:r>
              <w:rPr>
                <w:rFonts w:ascii="Arial" w:cs="Arial" w:eastAsia="Arial" w:hAnsi="Arial"/>
                <w:sz w:val="18"/>
                <w:szCs w:val="18"/>
              </w:rPr>
              <w:t xml:space="preserve">360,093</w:t>
            </w:r>
          </w:p>
        </w:tc>
        <w:tc>
          <w:tcPr>
            <w:tcMar>
              <w:top w:type="dxa" w:w="40"/>
              <w:left w:type="dxa" w:w="80"/>
              <w:bottom w:type="dxa" w:w="40"/>
              <w:right w:type="dxa" w:w="80"/>
            </w:tcMar>
          </w:tcPr>
          <w:p>
            <w:pPr>
              <w:jc w:val="right"/>
            </w:pPr>
            <w:r>
              <w:rPr>
                <w:rFonts w:ascii="Arial" w:cs="Arial" w:eastAsia="Arial" w:hAnsi="Arial"/>
                <w:sz w:val="18"/>
                <w:szCs w:val="18"/>
              </w:rPr>
              <w:t xml:space="preserve">502,853</w:t>
            </w:r>
          </w:p>
        </w:tc>
        <w:tc>
          <w:tcPr>
            <w:tcMar>
              <w:top w:type="dxa" w:w="40"/>
              <w:left w:type="dxa" w:w="80"/>
              <w:bottom w:type="dxa" w:w="40"/>
              <w:right w:type="dxa" w:w="80"/>
            </w:tcMar>
          </w:tcPr>
          <w:p>
            <w:pPr>
              <w:jc w:val="right"/>
            </w:pPr>
            <w:r>
              <w:rPr>
                <w:rFonts w:ascii="Arial" w:cs="Arial" w:eastAsia="Arial" w:hAnsi="Arial"/>
                <w:sz w:val="18"/>
                <w:szCs w:val="18"/>
              </w:rPr>
              <w:t xml:space="preserve">124,656</w:t>
            </w:r>
          </w:p>
        </w:tc>
        <w:tc>
          <w:tcPr>
            <w:tcMar>
              <w:top w:type="dxa" w:w="40"/>
              <w:left w:type="dxa" w:w="80"/>
              <w:bottom w:type="dxa" w:w="40"/>
              <w:right w:type="dxa" w:w="80"/>
            </w:tcMar>
          </w:tcPr>
          <w:p>
            <w:pPr>
              <w:jc w:val="right"/>
            </w:pPr>
            <w:r>
              <w:rPr>
                <w:rFonts w:ascii="Arial" w:cs="Arial" w:eastAsia="Arial" w:hAnsi="Arial"/>
                <w:sz w:val="18"/>
                <w:szCs w:val="18"/>
              </w:rPr>
              <w:t xml:space="preserve">251,812</w:t>
            </w:r>
          </w:p>
        </w:tc>
      </w:tr>
      <w:tr>
        <w:tc>
          <w:tcPr>
            <w:tcMar>
              <w:top w:type="dxa" w:w="40"/>
              <w:left w:type="dxa" w:w="80"/>
              <w:bottom w:type="dxa" w:w="40"/>
              <w:right w:type="dxa" w:w="80"/>
            </w:tcMar>
          </w:tcPr>
          <w:p>
            <w:r>
              <w:rPr>
                <w:rFonts w:ascii="Arial" w:cs="Arial" w:eastAsia="Arial" w:hAnsi="Arial"/>
                <w:sz w:val="18"/>
                <w:szCs w:val="18"/>
              </w:rPr>
              <w:t xml:space="preserve">Cash &amp; bank balances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257,995</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184,610</w:t>
            </w:r>
          </w:p>
        </w:tc>
        <w:tc>
          <w:tcPr>
            <w:tcMar>
              <w:top w:type="dxa" w:w="40"/>
              <w:left w:type="dxa" w:w="80"/>
              <w:bottom w:type="dxa" w:w="40"/>
              <w:right w:type="dxa" w:w="80"/>
            </w:tcMar>
          </w:tcPr>
          <w:p>
            <w:pPr>
              <w:jc w:val="right"/>
            </w:pPr>
            <w:r>
              <w:rPr>
                <w:rFonts w:ascii="Arial" w:cs="Arial" w:eastAsia="Arial" w:hAnsi="Arial"/>
                <w:sz w:val="18"/>
                <w:szCs w:val="18"/>
              </w:rPr>
              <w:t xml:space="preserve">239,454</w:t>
            </w:r>
          </w:p>
        </w:tc>
        <w:tc>
          <w:tcPr>
            <w:tcMar>
              <w:top w:type="dxa" w:w="40"/>
              <w:left w:type="dxa" w:w="80"/>
              <w:bottom w:type="dxa" w:w="40"/>
              <w:right w:type="dxa" w:w="80"/>
            </w:tcMar>
          </w:tcPr>
          <w:p>
            <w:pPr>
              <w:jc w:val="right"/>
            </w:pPr>
            <w:r>
              <w:rPr>
                <w:rFonts w:ascii="Arial" w:cs="Arial" w:eastAsia="Arial" w:hAnsi="Arial"/>
                <w:sz w:val="18"/>
                <w:szCs w:val="18"/>
              </w:rPr>
              <w:t xml:space="preserve">193,089</w:t>
            </w:r>
          </w:p>
        </w:tc>
        <w:tc>
          <w:tcPr>
            <w:tcMar>
              <w:top w:type="dxa" w:w="40"/>
              <w:left w:type="dxa" w:w="80"/>
              <w:bottom w:type="dxa" w:w="40"/>
              <w:right w:type="dxa" w:w="80"/>
            </w:tcMar>
          </w:tcPr>
          <w:p>
            <w:pPr>
              <w:jc w:val="right"/>
            </w:pPr>
            <w:r>
              <w:rPr>
                <w:rFonts w:ascii="Arial" w:cs="Arial" w:eastAsia="Arial" w:hAnsi="Arial"/>
                <w:sz w:val="18"/>
                <w:szCs w:val="18"/>
              </w:rPr>
              <w:t xml:space="preserve">196,781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200,535</w:t>
            </w:r>
          </w:p>
        </w:tc>
        <w:tc>
          <w:tcPr>
            <w:tcMar>
              <w:top w:type="dxa" w:w="40"/>
              <w:left w:type="dxa" w:w="80"/>
              <w:bottom w:type="dxa" w:w="40"/>
              <w:right w:type="dxa" w:w="80"/>
            </w:tcMar>
          </w:tcPr>
          <w:p>
            <w:pPr>
              <w:jc w:val="right"/>
            </w:pPr>
            <w:r>
              <w:rPr>
                <w:rFonts w:ascii="Arial" w:cs="Arial" w:eastAsia="Arial" w:hAnsi="Arial"/>
                <w:sz w:val="18"/>
                <w:szCs w:val="18"/>
              </w:rPr>
              <w:t xml:space="preserve">265,465</w:t>
            </w:r>
          </w:p>
        </w:tc>
        <w:tc>
          <w:tcPr>
            <w:tcMar>
              <w:top w:type="dxa" w:w="40"/>
              <w:left w:type="dxa" w:w="80"/>
              <w:bottom w:type="dxa" w:w="40"/>
              <w:right w:type="dxa" w:w="80"/>
            </w:tcMar>
          </w:tcPr>
          <w:p>
            <w:pPr>
              <w:jc w:val="right"/>
            </w:pPr>
            <w:r>
              <w:rPr>
                <w:rFonts w:ascii="Arial" w:cs="Arial" w:eastAsia="Arial" w:hAnsi="Arial"/>
                <w:sz w:val="18"/>
                <w:szCs w:val="18"/>
              </w:rPr>
              <w:t xml:space="preserve">275,882</w:t>
            </w:r>
          </w:p>
        </w:tc>
        <w:tc>
          <w:tcPr>
            <w:tcMar>
              <w:top w:type="dxa" w:w="40"/>
              <w:left w:type="dxa" w:w="80"/>
              <w:bottom w:type="dxa" w:w="40"/>
              <w:right w:type="dxa" w:w="80"/>
            </w:tcMar>
          </w:tcPr>
          <w:p>
            <w:pPr>
              <w:jc w:val="right"/>
            </w:pPr>
            <w:r>
              <w:rPr>
                <w:rFonts w:ascii="Arial" w:cs="Arial" w:eastAsia="Arial" w:hAnsi="Arial"/>
                <w:sz w:val="18"/>
                <w:szCs w:val="18"/>
              </w:rPr>
              <w:t xml:space="preserve">99,768</w:t>
            </w:r>
          </w:p>
        </w:tc>
      </w:tr>
      <w:tr>
        <w:tc>
          <w:tcPr>
            <w:tcMar>
              <w:top w:type="dxa" w:w="40"/>
              <w:left w:type="dxa" w:w="80"/>
              <w:bottom w:type="dxa" w:w="40"/>
              <w:right w:type="dxa" w:w="80"/>
            </w:tcMar>
          </w:tcPr>
          <w:p>
            <w:r>
              <w:rPr>
                <w:rFonts w:ascii="Arial" w:cs="Arial" w:eastAsia="Arial" w:hAnsi="Arial"/>
                <w:sz w:val="18"/>
                <w:szCs w:val="18"/>
              </w:rPr>
              <w:t xml:space="preserve">Operating expenses</w:t>
            </w:r>
          </w:p>
        </w:tc>
        <w:tc>
          <w:tcPr>
            <w:tcMar>
              <w:top w:type="dxa" w:w="40"/>
              <w:left w:type="dxa" w:w="80"/>
              <w:bottom w:type="dxa" w:w="40"/>
              <w:right w:type="dxa" w:w="80"/>
            </w:tcMar>
          </w:tcPr>
          <w:p>
            <w:pPr>
              <w:jc w:val="right"/>
            </w:pPr>
            <w:r>
              <w:rPr>
                <w:rFonts w:ascii="Arial" w:cs="Arial" w:eastAsia="Arial" w:hAnsi="Arial"/>
                <w:sz w:val="18"/>
                <w:szCs w:val="18"/>
              </w:rPr>
              <w:t xml:space="preserve">-251,013</w:t>
            </w:r>
          </w:p>
        </w:tc>
        <w:tc>
          <w:tcPr>
            <w:tcMar>
              <w:top w:type="dxa" w:w="40"/>
              <w:left w:type="dxa" w:w="80"/>
              <w:bottom w:type="dxa" w:w="40"/>
              <w:right w:type="dxa" w:w="80"/>
            </w:tcMar>
          </w:tcPr>
          <w:p>
            <w:pPr>
              <w:jc w:val="right"/>
            </w:pPr>
            <w:r>
              <w:rPr>
                <w:rFonts w:ascii="Arial" w:cs="Arial" w:eastAsia="Arial" w:hAnsi="Arial"/>
                <w:sz w:val="18"/>
                <w:szCs w:val="18"/>
              </w:rPr>
              <w:t xml:space="preserve">-337,119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-165,977</w:t>
            </w:r>
          </w:p>
        </w:tc>
        <w:tc>
          <w:tcPr>
            <w:tcMar>
              <w:top w:type="dxa" w:w="40"/>
              <w:left w:type="dxa" w:w="80"/>
              <w:bottom w:type="dxa" w:w="40"/>
              <w:right w:type="dxa" w:w="80"/>
            </w:tcMar>
          </w:tcPr>
          <w:p>
            <w:pPr>
              <w:jc w:val="right"/>
            </w:pPr>
            <w:r>
              <w:rPr>
                <w:rFonts w:ascii="Arial" w:cs="Arial" w:eastAsia="Arial" w:hAnsi="Arial"/>
                <w:sz w:val="18"/>
                <w:szCs w:val="18"/>
              </w:rPr>
              <w:t xml:space="preserve">-222,772</w:t>
            </w:r>
          </w:p>
        </w:tc>
        <w:tc>
          <w:tcPr>
            <w:tcMar>
              <w:top w:type="dxa" w:w="40"/>
              <w:left w:type="dxa" w:w="80"/>
              <w:bottom w:type="dxa" w:w="40"/>
              <w:right w:type="dxa" w:w="80"/>
            </w:tcMar>
          </w:tcPr>
          <w:p>
            <w:pPr>
              <w:jc w:val="right"/>
            </w:pPr>
            <w:r>
              <w:rPr>
                <w:rFonts w:ascii="Arial" w:cs="Arial" w:eastAsia="Arial" w:hAnsi="Arial"/>
                <w:sz w:val="18"/>
                <w:szCs w:val="18"/>
              </w:rPr>
              <w:t xml:space="preserve">-300,256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-156,191</w:t>
            </w:r>
          </w:p>
        </w:tc>
        <w:tc>
          <w:tcPr>
            <w:tcMar>
              <w:top w:type="dxa" w:w="40"/>
              <w:left w:type="dxa" w:w="80"/>
              <w:bottom w:type="dxa" w:w="40"/>
              <w:right w:type="dxa" w:w="80"/>
            </w:tcMar>
          </w:tcPr>
          <w:p>
            <w:pPr>
              <w:jc w:val="right"/>
            </w:pPr>
            <w:r>
              <w:rPr>
                <w:rFonts w:ascii="Arial" w:cs="Arial" w:eastAsia="Arial" w:hAnsi="Arial"/>
                <w:sz w:val="18"/>
                <w:szCs w:val="18"/>
              </w:rPr>
              <w:t xml:space="preserve">-77,443</w:t>
            </w:r>
          </w:p>
        </w:tc>
        <w:tc>
          <w:tcPr>
            <w:tcMar>
              <w:top w:type="dxa" w:w="40"/>
              <w:left w:type="dxa" w:w="80"/>
              <w:bottom w:type="dxa" w:w="40"/>
              <w:right w:type="dxa" w:w="80"/>
            </w:tcMar>
          </w:tcPr>
          <w:p>
            <w:pPr>
              <w:jc w:val="right"/>
            </w:pPr>
            <w:r>
              <w:rPr>
                <w:rFonts w:ascii="Arial" w:cs="Arial" w:eastAsia="Arial" w:hAnsi="Arial"/>
                <w:sz w:val="18"/>
                <w:szCs w:val="18"/>
              </w:rPr>
              <w:t xml:space="preserve">-228,556</w:t>
            </w:r>
          </w:p>
        </w:tc>
        <w:tc>
          <w:tcPr>
            <w:tcMar>
              <w:top w:type="dxa" w:w="40"/>
              <w:left w:type="dxa" w:w="80"/>
              <w:bottom w:type="dxa" w:w="40"/>
              <w:right w:type="dxa" w:w="80"/>
            </w:tcMar>
          </w:tcPr>
          <w:p>
            <w:pPr>
              <w:jc w:val="right"/>
            </w:pPr>
            <w:r>
              <w:rPr>
                <w:rFonts w:ascii="Arial" w:cs="Arial" w:eastAsia="Arial" w:hAnsi="Arial"/>
                <w:sz w:val="18"/>
                <w:szCs w:val="18"/>
              </w:rPr>
              <w:t xml:space="preserve">-330,175</w:t>
            </w:r>
          </w:p>
        </w:tc>
        <w:tc>
          <w:tcPr>
            <w:tcMar>
              <w:top w:type="dxa" w:w="40"/>
              <w:left w:type="dxa" w:w="80"/>
              <w:bottom w:type="dxa" w:w="40"/>
              <w:right w:type="dxa" w:w="80"/>
            </w:tcMar>
          </w:tcPr>
          <w:p>
            <w:pPr>
              <w:jc w:val="right"/>
            </w:pPr>
            <w:r>
              <w:rPr>
                <w:rFonts w:ascii="Arial" w:cs="Arial" w:eastAsia="Arial" w:hAnsi="Arial"/>
                <w:sz w:val="18"/>
                <w:szCs w:val="18"/>
              </w:rPr>
              <w:t xml:space="preserve">-87,603</w:t>
            </w:r>
          </w:p>
        </w:tc>
        <w:tc>
          <w:tcPr>
            <w:tcMar>
              <w:top w:type="dxa" w:w="40"/>
              <w:left w:type="dxa" w:w="80"/>
              <w:bottom w:type="dxa" w:w="40"/>
              <w:right w:type="dxa" w:w="80"/>
            </w:tcMar>
          </w:tcPr>
          <w:p>
            <w:pPr>
              <w:jc w:val="right"/>
            </w:pPr>
            <w:r>
              <w:rPr>
                <w:rFonts w:ascii="Arial" w:cs="Arial" w:eastAsia="Arial" w:hAnsi="Arial"/>
                <w:sz w:val="18"/>
                <w:szCs w:val="18"/>
              </w:rPr>
              <w:t xml:space="preserve">-171,812</w:t>
            </w:r>
          </w:p>
        </w:tc>
      </w:tr>
      <w:tr>
        <w:tc>
          <w:tcPr>
            <w:tcMar>
              <w:top w:type="dxa" w:w="40"/>
              <w:left w:type="dxa" w:w="80"/>
              <w:bottom w:type="dxa" w:w="40"/>
              <w:right w:type="dxa" w:w="80"/>
            </w:tcMar>
          </w:tcPr>
          <w:p>
            <w:r>
              <w:rPr>
                <w:rFonts w:ascii="Arial" w:cs="Arial" w:eastAsia="Arial" w:hAnsi="Arial"/>
                <w:sz w:val="18"/>
                <w:szCs w:val="18"/>
              </w:rPr>
              <w:t xml:space="preserve">Receivables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308,440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326,228</w:t>
            </w:r>
          </w:p>
        </w:tc>
        <w:tc>
          <w:tcPr>
            <w:tcMar>
              <w:top w:type="dxa" w:w="40"/>
              <w:left w:type="dxa" w:w="80"/>
              <w:bottom w:type="dxa" w:w="40"/>
              <w:right w:type="dxa" w:w="80"/>
            </w:tcMar>
          </w:tcPr>
          <w:p>
            <w:pPr>
              <w:jc w:val="right"/>
            </w:pPr>
            <w:r>
              <w:rPr>
                <w:rFonts w:ascii="Arial" w:cs="Arial" w:eastAsia="Arial" w:hAnsi="Arial"/>
                <w:sz w:val="18"/>
                <w:szCs w:val="18"/>
              </w:rPr>
              <w:t xml:space="preserve">332,016</w:t>
            </w:r>
          </w:p>
        </w:tc>
        <w:tc>
          <w:tcPr>
            <w:tcMar>
              <w:top w:type="dxa" w:w="40"/>
              <w:left w:type="dxa" w:w="80"/>
              <w:bottom w:type="dxa" w:w="40"/>
              <w:right w:type="dxa" w:w="80"/>
            </w:tcMar>
          </w:tcPr>
          <w:p>
            <w:pPr>
              <w:jc w:val="right"/>
            </w:pPr>
            <w:r>
              <w:rPr>
                <w:rFonts w:ascii="Arial" w:cs="Arial" w:eastAsia="Arial" w:hAnsi="Arial"/>
                <w:sz w:val="18"/>
                <w:szCs w:val="18"/>
              </w:rPr>
              <w:t xml:space="preserve">339,888</w:t>
            </w:r>
          </w:p>
        </w:tc>
        <w:tc>
          <w:tcPr>
            <w:tcMar>
              <w:top w:type="dxa" w:w="40"/>
              <w:left w:type="dxa" w:w="80"/>
              <w:bottom w:type="dxa" w:w="40"/>
              <w:right w:type="dxa" w:w="80"/>
            </w:tcMar>
          </w:tcPr>
          <w:p>
            <w:pPr>
              <w:jc w:val="right"/>
            </w:pPr>
            <w:r>
              <w:rPr>
                <w:rFonts w:ascii="Arial" w:cs="Arial" w:eastAsia="Arial" w:hAnsi="Arial"/>
                <w:sz w:val="18"/>
                <w:szCs w:val="18"/>
              </w:rPr>
              <w:t xml:space="preserve">358,175</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382,958</w:t>
            </w:r>
          </w:p>
        </w:tc>
        <w:tc>
          <w:tcPr>
            <w:tcMar>
              <w:top w:type="dxa" w:w="40"/>
              <w:left w:type="dxa" w:w="80"/>
              <w:bottom w:type="dxa" w:w="40"/>
              <w:right w:type="dxa" w:w="80"/>
            </w:tcMar>
          </w:tcPr>
          <w:p>
            <w:pPr>
              <w:jc w:val="right"/>
            </w:pPr>
            <w:r>
              <w:rPr>
                <w:rFonts w:ascii="Arial" w:cs="Arial" w:eastAsia="Arial" w:hAnsi="Arial"/>
                <w:sz w:val="18"/>
                <w:szCs w:val="18"/>
              </w:rPr>
              <w:t xml:space="preserve">348,784</w:t>
            </w:r>
          </w:p>
        </w:tc>
        <w:tc>
          <w:tcPr>
            <w:tcMar>
              <w:top w:type="dxa" w:w="40"/>
              <w:left w:type="dxa" w:w="80"/>
              <w:bottom w:type="dxa" w:w="40"/>
              <w:right w:type="dxa" w:w="80"/>
            </w:tcMar>
          </w:tcPr>
          <w:p>
            <w:pPr>
              <w:jc w:val="right"/>
            </w:pPr>
            <w:r>
              <w:rPr>
                <w:rFonts w:ascii="Arial" w:cs="Arial" w:eastAsia="Arial" w:hAnsi="Arial"/>
                <w:sz w:val="18"/>
                <w:szCs w:val="18"/>
              </w:rPr>
              <w:t xml:space="preserve">326,919</w:t>
            </w:r>
          </w:p>
        </w:tc>
      </w:tr>
      <w:tr>
        <w:tc>
          <w:tcPr>
            <w:tcMar>
              <w:top w:type="dxa" w:w="40"/>
              <w:left w:type="dxa" w:w="80"/>
              <w:bottom w:type="dxa" w:w="40"/>
              <w:right w:type="dxa" w:w="80"/>
            </w:tcMar>
          </w:tcPr>
          <w:p>
            <w:r>
              <w:rPr>
                <w:rFonts w:ascii="Arial" w:cs="Arial" w:eastAsia="Arial" w:hAnsi="Arial"/>
                <w:sz w:val="18"/>
                <w:szCs w:val="18"/>
              </w:rPr>
              <w:t xml:space="preserve">Finance cost</w:t>
            </w:r>
          </w:p>
        </w:tc>
        <w:tc>
          <w:tcPr>
            <w:tcMar>
              <w:top w:type="dxa" w:w="40"/>
              <w:left w:type="dxa" w:w="80"/>
              <w:bottom w:type="dxa" w:w="40"/>
              <w:right w:type="dxa" w:w="80"/>
            </w:tcMar>
          </w:tcPr>
          <w:p>
            <w:pPr>
              <w:jc w:val="right"/>
            </w:pPr>
            <w:r>
              <w:rPr>
                <w:rFonts w:ascii="Arial" w:cs="Arial" w:eastAsia="Arial" w:hAnsi="Arial"/>
                <w:sz w:val="18"/>
                <w:szCs w:val="18"/>
              </w:rPr>
              <w:t xml:space="preserve">-108,867</w:t>
            </w:r>
          </w:p>
        </w:tc>
        <w:tc>
          <w:tcPr>
            <w:tcMar>
              <w:top w:type="dxa" w:w="40"/>
              <w:left w:type="dxa" w:w="80"/>
              <w:bottom w:type="dxa" w:w="40"/>
              <w:right w:type="dxa" w:w="80"/>
            </w:tcMar>
          </w:tcPr>
          <w:p>
            <w:pPr>
              <w:jc w:val="right"/>
            </w:pPr>
            <w:r>
              <w:rPr>
                <w:rFonts w:ascii="Arial" w:cs="Arial" w:eastAsia="Arial" w:hAnsi="Arial"/>
                <w:sz w:val="18"/>
                <w:szCs w:val="18"/>
              </w:rPr>
              <w:t xml:space="preserve">-143,633</w:t>
            </w:r>
          </w:p>
        </w:tc>
        <w:tc>
          <w:tcPr>
            <w:tcMar>
              <w:top w:type="dxa" w:w="40"/>
              <w:left w:type="dxa" w:w="80"/>
              <w:bottom w:type="dxa" w:w="40"/>
              <w:right w:type="dxa" w:w="80"/>
            </w:tcMar>
          </w:tcPr>
          <w:p>
            <w:pPr>
              <w:jc w:val="right"/>
            </w:pPr>
            <w:r>
              <w:rPr>
                <w:rFonts w:ascii="Arial" w:cs="Arial" w:eastAsia="Arial" w:hAnsi="Arial"/>
                <w:sz w:val="18"/>
                <w:szCs w:val="18"/>
              </w:rPr>
              <w:t xml:space="preserve">-34,005</w:t>
            </w:r>
          </w:p>
        </w:tc>
        <w:tc>
          <w:tcPr>
            <w:tcMar>
              <w:top w:type="dxa" w:w="40"/>
              <w:left w:type="dxa" w:w="80"/>
              <w:bottom w:type="dxa" w:w="40"/>
              <w:right w:type="dxa" w:w="80"/>
            </w:tcMar>
          </w:tcPr>
          <w:p>
            <w:pPr>
              <w:jc w:val="right"/>
            </w:pPr>
            <w:r>
              <w:rPr>
                <w:rFonts w:ascii="Arial" w:cs="Arial" w:eastAsia="Arial" w:hAnsi="Arial"/>
                <w:sz w:val="18"/>
                <w:szCs w:val="18"/>
              </w:rPr>
              <w:t xml:space="preserve">-68,036</w:t>
            </w:r>
          </w:p>
        </w:tc>
        <w:tc>
          <w:tcPr>
            <w:tcMar>
              <w:top w:type="dxa" w:w="40"/>
              <w:left w:type="dxa" w:w="80"/>
              <w:bottom w:type="dxa" w:w="40"/>
              <w:right w:type="dxa" w:w="80"/>
            </w:tcMar>
          </w:tcPr>
          <w:p>
            <w:pPr>
              <w:jc w:val="right"/>
            </w:pPr>
            <w:r>
              <w:rPr>
                <w:rFonts w:ascii="Arial" w:cs="Arial" w:eastAsia="Arial" w:hAnsi="Arial"/>
                <w:sz w:val="18"/>
                <w:szCs w:val="18"/>
              </w:rPr>
              <w:t xml:space="preserve">-102,624</w:t>
            </w:r>
          </w:p>
        </w:tc>
        <w:tc>
          <w:tcPr>
            <w:tcMar>
              <w:top w:type="dxa" w:w="40"/>
              <w:left w:type="dxa" w:w="80"/>
              <w:bottom w:type="dxa" w:w="40"/>
              <w:right w:type="dxa" w:w="80"/>
            </w:tcMar>
          </w:tcPr>
          <w:p>
            <w:pPr>
              <w:jc w:val="right"/>
            </w:pPr>
            <w:r>
              <w:rPr>
                <w:rFonts w:ascii="Arial" w:cs="Arial" w:eastAsia="Arial" w:hAnsi="Arial"/>
                <w:sz w:val="18"/>
                <w:szCs w:val="18"/>
              </w:rPr>
              <w:t xml:space="preserve">-132,886</w:t>
            </w:r>
          </w:p>
        </w:tc>
        <w:tc>
          <w:tcPr>
            <w:tcMar>
              <w:top w:type="dxa" w:w="40"/>
              <w:left w:type="dxa" w:w="80"/>
              <w:bottom w:type="dxa" w:w="40"/>
              <w:right w:type="dxa" w:w="80"/>
            </w:tcMar>
          </w:tcPr>
          <w:p>
            <w:pPr>
              <w:jc w:val="right"/>
            </w:pPr>
            <w:r>
              <w:rPr>
                <w:rFonts w:ascii="Arial" w:cs="Arial" w:eastAsia="Arial" w:hAnsi="Arial"/>
                <w:sz w:val="18"/>
                <w:szCs w:val="18"/>
              </w:rPr>
              <w:t xml:space="preserve">-28,182</w:t>
            </w:r>
          </w:p>
        </w:tc>
        <w:tc>
          <w:tcPr>
            <w:tcMar>
              <w:top w:type="dxa" w:w="40"/>
              <w:left w:type="dxa" w:w="80"/>
              <w:bottom w:type="dxa" w:w="40"/>
              <w:right w:type="dxa" w:w="80"/>
            </w:tcMar>
          </w:tcPr>
          <w:p>
            <w:pPr>
              <w:jc w:val="right"/>
            </w:pPr>
            <w:r>
              <w:rPr>
                <w:rFonts w:ascii="Arial" w:cs="Arial" w:eastAsia="Arial" w:hAnsi="Arial"/>
                <w:sz w:val="18"/>
                <w:szCs w:val="18"/>
              </w:rPr>
              <w:t xml:space="preserve">-56,435</w:t>
            </w:r>
          </w:p>
        </w:tc>
        <w:tc>
          <w:tcPr>
            <w:tcMar>
              <w:top w:type="dxa" w:w="40"/>
              <w:left w:type="dxa" w:w="80"/>
              <w:bottom w:type="dxa" w:w="40"/>
              <w:right w:type="dxa" w:w="80"/>
            </w:tcMar>
          </w:tcPr>
          <w:p>
            <w:pPr>
              <w:jc w:val="right"/>
            </w:pPr>
            <w:r>
              <w:rPr>
                <w:rFonts w:ascii="Arial" w:cs="Arial" w:eastAsia="Arial" w:hAnsi="Arial"/>
                <w:sz w:val="18"/>
                <w:szCs w:val="18"/>
              </w:rPr>
              <w:t xml:space="preserve">-28,252</w:t>
            </w:r>
          </w:p>
        </w:tc>
        <w:tc>
          <w:tcPr>
            <w:tcMar>
              <w:top w:type="dxa" w:w="40"/>
              <w:left w:type="dxa" w:w="80"/>
              <w:bottom w:type="dxa" w:w="40"/>
              <w:right w:type="dxa" w:w="80"/>
            </w:tcMar>
          </w:tcPr>
          <w:p>
            <w:pPr>
              <w:jc w:val="right"/>
            </w:pPr>
            <w:r>
              <w:rPr>
                <w:rFonts w:ascii="Arial" w:cs="Arial" w:eastAsia="Arial" w:hAnsi="Arial"/>
                <w:sz w:val="18"/>
                <w:szCs w:val="18"/>
              </w:rPr>
              <w:t xml:space="preserve">-84,972</w:t>
            </w:r>
          </w:p>
        </w:tc>
        <w:tc>
          <w:tcPr>
            <w:tcMar>
              <w:top w:type="dxa" w:w="40"/>
              <w:left w:type="dxa" w:w="80"/>
              <w:bottom w:type="dxa" w:w="40"/>
              <w:right w:type="dxa" w:w="80"/>
            </w:tcMar>
          </w:tcPr>
          <w:p>
            <w:pPr>
              <w:jc w:val="right"/>
            </w:pPr>
            <w:r>
              <w:rPr>
                <w:rFonts w:ascii="Arial" w:cs="Arial" w:eastAsia="Arial" w:hAnsi="Arial"/>
                <w:sz w:val="18"/>
                <w:szCs w:val="18"/>
              </w:rPr>
              <w:t xml:space="preserve">-113,079</w:t>
            </w:r>
          </w:p>
        </w:tc>
        <w:tc>
          <w:tcPr>
            <w:tcMar>
              <w:top w:type="dxa" w:w="40"/>
              <w:left w:type="dxa" w:w="80"/>
              <w:bottom w:type="dxa" w:w="40"/>
              <w:right w:type="dxa" w:w="80"/>
            </w:tcMar>
          </w:tcPr>
          <w:p>
            <w:pPr>
              <w:jc w:val="right"/>
            </w:pPr>
            <w:r>
              <w:rPr>
                <w:rFonts w:ascii="Arial" w:cs="Arial" w:eastAsia="Arial" w:hAnsi="Arial"/>
                <w:sz w:val="18"/>
                <w:szCs w:val="18"/>
              </w:rPr>
              <w:t xml:space="preserve">-24,707</w:t>
            </w:r>
          </w:p>
        </w:tc>
        <w:tc>
          <w:tcPr>
            <w:tcMar>
              <w:top w:type="dxa" w:w="40"/>
              <w:left w:type="dxa" w:w="80"/>
              <w:bottom w:type="dxa" w:w="40"/>
              <w:right w:type="dxa" w:w="80"/>
            </w:tcMar>
          </w:tcPr>
          <w:p>
            <w:pPr>
              <w:jc w:val="right"/>
            </w:pPr>
            <w:r>
              <w:rPr>
                <w:rFonts w:ascii="Arial" w:cs="Arial" w:eastAsia="Arial" w:hAnsi="Arial"/>
                <w:sz w:val="18"/>
                <w:szCs w:val="18"/>
              </w:rPr>
              <w:t xml:space="preserve">-48,515</w:t>
            </w:r>
          </w:p>
        </w:tc>
      </w:tr>
      <w:tr>
        <w:tc>
          <w:tcPr>
            <w:tcMar>
              <w:top w:type="dxa" w:w="40"/>
              <w:left w:type="dxa" w:w="80"/>
              <w:bottom w:type="dxa" w:w="40"/>
              <w:right w:type="dxa" w:w="80"/>
            </w:tcMar>
          </w:tcPr>
          <w:p>
            <w:r>
              <w:rPr>
                <w:rFonts w:ascii="Arial" w:cs="Arial" w:eastAsia="Arial" w:hAnsi="Arial"/>
                <w:sz w:val="18"/>
                <w:szCs w:val="18"/>
              </w:rPr>
              <w:t xml:space="preserve">EBITDA</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226,623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113,214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251,633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117,250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267,572</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r>
      <w:tr>
        <w:tc>
          <w:tcPr>
            <w:tcMar>
              <w:top w:type="dxa" w:w="40"/>
              <w:left w:type="dxa" w:w="80"/>
              <w:bottom w:type="dxa" w:w="40"/>
              <w:right w:type="dxa" w:w="80"/>
            </w:tcMar>
          </w:tcPr>
          <w:p>
            <w:r>
              <w:rPr>
                <w:rFonts w:ascii="Arial" w:cs="Arial" w:eastAsia="Arial" w:hAnsi="Arial"/>
                <w:sz w:val="18"/>
                <w:szCs w:val="18"/>
              </w:rPr>
              <w:t xml:space="preserve">EBIT</w:t>
            </w:r>
          </w:p>
        </w:tc>
        <w:tc>
          <w:tcPr>
            <w:tcMar>
              <w:top w:type="dxa" w:w="40"/>
              <w:left w:type="dxa" w:w="80"/>
              <w:bottom w:type="dxa" w:w="40"/>
              <w:right w:type="dxa" w:w="80"/>
            </w:tcMar>
          </w:tcPr>
          <w:p>
            <w:pPr>
              <w:jc w:val="right"/>
            </w:pPr>
            <w:r>
              <w:rPr>
                <w:rFonts w:ascii="Arial" w:cs="Arial" w:eastAsia="Arial" w:hAnsi="Arial"/>
                <w:sz w:val="18"/>
                <w:szCs w:val="18"/>
              </w:rPr>
              <w:t xml:space="preserve">113,114</w:t>
            </w:r>
          </w:p>
        </w:tc>
        <w:tc>
          <w:tcPr>
            <w:tcMar>
              <w:top w:type="dxa" w:w="40"/>
              <w:left w:type="dxa" w:w="80"/>
              <w:bottom w:type="dxa" w:w="40"/>
              <w:right w:type="dxa" w:w="80"/>
            </w:tcMar>
          </w:tcPr>
          <w:p>
            <w:pPr>
              <w:jc w:val="right"/>
            </w:pPr>
            <w:r>
              <w:rPr>
                <w:rFonts w:ascii="Arial" w:cs="Arial" w:eastAsia="Arial" w:hAnsi="Arial"/>
                <w:sz w:val="18"/>
                <w:szCs w:val="18"/>
              </w:rPr>
              <w:t xml:space="preserve">174,263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84,251</w:t>
            </w:r>
          </w:p>
        </w:tc>
        <w:tc>
          <w:tcPr>
            <w:tcMar>
              <w:top w:type="dxa" w:w="40"/>
              <w:left w:type="dxa" w:w="80"/>
              <w:bottom w:type="dxa" w:w="40"/>
              <w:right w:type="dxa" w:w="80"/>
            </w:tcMar>
          </w:tcPr>
          <w:p>
            <w:pPr>
              <w:jc w:val="right"/>
            </w:pPr>
            <w:r>
              <w:rPr>
                <w:rFonts w:ascii="Arial" w:cs="Arial" w:eastAsia="Arial" w:hAnsi="Arial"/>
                <w:sz w:val="18"/>
                <w:szCs w:val="18"/>
              </w:rPr>
              <w:t xml:space="preserve">117,582</w:t>
            </w:r>
          </w:p>
        </w:tc>
        <w:tc>
          <w:tcPr>
            <w:tcMar>
              <w:top w:type="dxa" w:w="40"/>
              <w:left w:type="dxa" w:w="80"/>
              <w:bottom w:type="dxa" w:w="40"/>
              <w:right w:type="dxa" w:w="80"/>
            </w:tcMar>
          </w:tcPr>
          <w:p>
            <w:pPr>
              <w:jc w:val="right"/>
            </w:pPr>
            <w:r>
              <w:rPr>
                <w:rFonts w:ascii="Arial" w:cs="Arial" w:eastAsia="Arial" w:hAnsi="Arial"/>
                <w:sz w:val="18"/>
                <w:szCs w:val="18"/>
              </w:rPr>
              <w:t xml:space="preserve">171,657</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93,162</w:t>
            </w:r>
          </w:p>
        </w:tc>
        <w:tc>
          <w:tcPr>
            <w:tcMar>
              <w:top w:type="dxa" w:w="40"/>
              <w:left w:type="dxa" w:w="80"/>
              <w:bottom w:type="dxa" w:w="40"/>
              <w:right w:type="dxa" w:w="80"/>
            </w:tcMar>
          </w:tcPr>
          <w:p>
            <w:pPr>
              <w:jc w:val="right"/>
            </w:pPr>
            <w:r>
              <w:rPr>
                <w:rFonts w:ascii="Arial" w:cs="Arial" w:eastAsia="Arial" w:hAnsi="Arial"/>
                <w:sz w:val="18"/>
                <w:szCs w:val="18"/>
              </w:rPr>
              <w:t xml:space="preserve">47,074</w:t>
            </w:r>
          </w:p>
        </w:tc>
        <w:tc>
          <w:tcPr>
            <w:tcMar>
              <w:top w:type="dxa" w:w="40"/>
              <w:left w:type="dxa" w:w="80"/>
              <w:bottom w:type="dxa" w:w="40"/>
              <w:right w:type="dxa" w:w="80"/>
            </w:tcMar>
          </w:tcPr>
          <w:p>
            <w:pPr>
              <w:jc w:val="right"/>
            </w:pPr>
            <w:r>
              <w:rPr>
                <w:rFonts w:ascii="Arial" w:cs="Arial" w:eastAsia="Arial" w:hAnsi="Arial"/>
                <w:sz w:val="18"/>
                <w:szCs w:val="18"/>
              </w:rPr>
              <w:t xml:space="preserve">147,681</w:t>
            </w:r>
          </w:p>
        </w:tc>
        <w:tc>
          <w:tcPr>
            <w:tcMar>
              <w:top w:type="dxa" w:w="40"/>
              <w:left w:type="dxa" w:w="80"/>
              <w:bottom w:type="dxa" w:w="40"/>
              <w:right w:type="dxa" w:w="80"/>
            </w:tcMar>
          </w:tcPr>
          <w:p>
            <w:pPr>
              <w:jc w:val="right"/>
            </w:pPr>
            <w:r>
              <w:rPr>
                <w:rFonts w:ascii="Arial" w:cs="Arial" w:eastAsia="Arial" w:hAnsi="Arial"/>
                <w:sz w:val="18"/>
                <w:szCs w:val="18"/>
              </w:rPr>
              <w:t xml:space="preserve">195,502</w:t>
            </w:r>
          </w:p>
        </w:tc>
        <w:tc>
          <w:tcPr>
            <w:tcMar>
              <w:top w:type="dxa" w:w="40"/>
              <w:left w:type="dxa" w:w="80"/>
              <w:bottom w:type="dxa" w:w="40"/>
              <w:right w:type="dxa" w:w="80"/>
            </w:tcMar>
          </w:tcPr>
          <w:p>
            <w:pPr>
              <w:jc w:val="right"/>
            </w:pPr>
            <w:r>
              <w:rPr>
                <w:rFonts w:ascii="Arial" w:cs="Arial" w:eastAsia="Arial" w:hAnsi="Arial"/>
                <w:sz w:val="18"/>
                <w:szCs w:val="18"/>
              </w:rPr>
              <w:t xml:space="preserve">47,860</w:t>
            </w:r>
          </w:p>
        </w:tc>
        <w:tc>
          <w:tcPr>
            <w:tcMar>
              <w:top w:type="dxa" w:w="40"/>
              <w:left w:type="dxa" w:w="80"/>
              <w:bottom w:type="dxa" w:w="40"/>
              <w:right w:type="dxa" w:w="80"/>
            </w:tcMar>
          </w:tcPr>
          <w:p>
            <w:pPr>
              <w:jc w:val="right"/>
            </w:pPr>
            <w:r>
              <w:rPr>
                <w:rFonts w:ascii="Arial" w:cs="Arial" w:eastAsia="Arial" w:hAnsi="Arial"/>
                <w:sz w:val="18"/>
                <w:szCs w:val="18"/>
              </w:rPr>
              <w:t xml:space="preserve">93,288</w:t>
            </w:r>
          </w:p>
        </w:tc>
      </w:tr>
      <w:tr>
        <w:tc>
          <w:tcPr>
            <w:tcMar>
              <w:top w:type="dxa" w:w="40"/>
              <w:left w:type="dxa" w:w="80"/>
              <w:bottom w:type="dxa" w:w="40"/>
              <w:right w:type="dxa" w:w="80"/>
            </w:tcMar>
          </w:tcPr>
          <w:p>
            <w:r>
              <w:rPr>
                <w:rFonts w:ascii="Arial" w:cs="Arial" w:eastAsia="Arial" w:hAnsi="Arial"/>
                <w:sz w:val="18"/>
                <w:szCs w:val="18"/>
              </w:rPr>
              <w:t xml:space="preserve">Inventory</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291,948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301,005</w:t>
            </w:r>
          </w:p>
        </w:tc>
        <w:tc>
          <w:tcPr>
            <w:tcMar>
              <w:top w:type="dxa" w:w="40"/>
              <w:left w:type="dxa" w:w="80"/>
              <w:bottom w:type="dxa" w:w="40"/>
              <w:right w:type="dxa" w:w="80"/>
            </w:tcMar>
          </w:tcPr>
          <w:p>
            <w:pPr>
              <w:jc w:val="right"/>
            </w:pPr>
            <w:r>
              <w:rPr>
                <w:rFonts w:ascii="Arial" w:cs="Arial" w:eastAsia="Arial" w:hAnsi="Arial"/>
                <w:sz w:val="18"/>
                <w:szCs w:val="18"/>
              </w:rPr>
              <w:t xml:space="preserve">286,910</w:t>
            </w:r>
          </w:p>
        </w:tc>
        <w:tc>
          <w:tcPr>
            <w:tcMar>
              <w:top w:type="dxa" w:w="40"/>
              <w:left w:type="dxa" w:w="80"/>
              <w:bottom w:type="dxa" w:w="40"/>
              <w:right w:type="dxa" w:w="80"/>
            </w:tcMar>
          </w:tcPr>
          <w:p>
            <w:pPr>
              <w:jc w:val="right"/>
            </w:pPr>
            <w:r>
              <w:rPr>
                <w:rFonts w:ascii="Arial" w:cs="Arial" w:eastAsia="Arial" w:hAnsi="Arial"/>
                <w:sz w:val="18"/>
                <w:szCs w:val="18"/>
              </w:rPr>
              <w:t xml:space="preserve">282,399</w:t>
            </w:r>
          </w:p>
        </w:tc>
        <w:tc>
          <w:tcPr>
            <w:tcMar>
              <w:top w:type="dxa" w:w="40"/>
              <w:left w:type="dxa" w:w="80"/>
              <w:bottom w:type="dxa" w:w="40"/>
              <w:right w:type="dxa" w:w="80"/>
            </w:tcMar>
          </w:tcPr>
          <w:p>
            <w:pPr>
              <w:jc w:val="right"/>
            </w:pPr>
            <w:r>
              <w:rPr>
                <w:rFonts w:ascii="Arial" w:cs="Arial" w:eastAsia="Arial" w:hAnsi="Arial"/>
                <w:sz w:val="18"/>
                <w:szCs w:val="18"/>
              </w:rPr>
              <w:t xml:space="preserve">289,874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305,764</w:t>
            </w:r>
          </w:p>
        </w:tc>
        <w:tc>
          <w:tcPr>
            <w:tcMar>
              <w:top w:type="dxa" w:w="40"/>
              <w:left w:type="dxa" w:w="80"/>
              <w:bottom w:type="dxa" w:w="40"/>
              <w:right w:type="dxa" w:w="80"/>
            </w:tcMar>
          </w:tcPr>
          <w:p>
            <w:pPr>
              <w:jc w:val="right"/>
            </w:pPr>
            <w:r>
              <w:rPr>
                <w:rFonts w:ascii="Arial" w:cs="Arial" w:eastAsia="Arial" w:hAnsi="Arial"/>
                <w:sz w:val="18"/>
                <w:szCs w:val="18"/>
              </w:rPr>
              <w:t xml:space="preserve">285,654</w:t>
            </w:r>
          </w:p>
        </w:tc>
        <w:tc>
          <w:tcPr>
            <w:tcMar>
              <w:top w:type="dxa" w:w="40"/>
              <w:left w:type="dxa" w:w="80"/>
              <w:bottom w:type="dxa" w:w="40"/>
              <w:right w:type="dxa" w:w="80"/>
            </w:tcMar>
          </w:tcPr>
          <w:p>
            <w:pPr>
              <w:jc w:val="right"/>
            </w:pPr>
            <w:r>
              <w:rPr>
                <w:rFonts w:ascii="Arial" w:cs="Arial" w:eastAsia="Arial" w:hAnsi="Arial"/>
                <w:sz w:val="18"/>
                <w:szCs w:val="18"/>
              </w:rPr>
              <w:t xml:space="preserve">281,985</w:t>
            </w:r>
          </w:p>
        </w:tc>
        <w:tc>
          <w:tcPr>
            <w:tcMar>
              <w:top w:type="dxa" w:w="40"/>
              <w:left w:type="dxa" w:w="80"/>
              <w:bottom w:type="dxa" w:w="40"/>
              <w:right w:type="dxa" w:w="80"/>
            </w:tcMar>
          </w:tcPr>
          <w:p>
            <w:pPr>
              <w:jc w:val="right"/>
            </w:pPr>
            <w:r>
              <w:rPr>
                <w:rFonts w:ascii="Arial" w:cs="Arial" w:eastAsia="Arial" w:hAnsi="Arial"/>
                <w:sz w:val="18"/>
                <w:szCs w:val="18"/>
              </w:rPr>
              <w:t xml:space="preserve">282,711</w:t>
            </w:r>
          </w:p>
        </w:tc>
      </w:tr>
      <w:tr>
        <w:tc>
          <w:tcPr>
            <w:tcMar>
              <w:top w:type="dxa" w:w="40"/>
              <w:left w:type="dxa" w:w="80"/>
              <w:bottom w:type="dxa" w:w="40"/>
              <w:right w:type="dxa" w:w="80"/>
            </w:tcMar>
          </w:tcPr>
          <w:p>
            <w:r>
              <w:rPr>
                <w:rFonts w:ascii="Arial" w:cs="Arial" w:eastAsia="Arial" w:hAnsi="Arial"/>
                <w:sz w:val="18"/>
                <w:szCs w:val="18"/>
              </w:rPr>
              <w:t xml:space="preserve">Net profit / (loss)</w:t>
            </w:r>
          </w:p>
        </w:tc>
        <w:tc>
          <w:tcPr>
            <w:tcMar>
              <w:top w:type="dxa" w:w="40"/>
              <w:left w:type="dxa" w:w="80"/>
              <w:bottom w:type="dxa" w:w="40"/>
              <w:right w:type="dxa" w:w="80"/>
            </w:tcMar>
          </w:tcPr>
          <w:p>
            <w:pPr>
              <w:jc w:val="right"/>
            </w:pPr>
            <w:r>
              <w:rPr>
                <w:rFonts w:ascii="Arial" w:cs="Arial" w:eastAsia="Arial" w:hAnsi="Arial"/>
                <w:sz w:val="18"/>
                <w:szCs w:val="18"/>
              </w:rPr>
              <w:t xml:space="preserve">21,132</w:t>
            </w:r>
          </w:p>
        </w:tc>
        <w:tc>
          <w:tcPr>
            <w:tcMar>
              <w:top w:type="dxa" w:w="40"/>
              <w:left w:type="dxa" w:w="80"/>
              <w:bottom w:type="dxa" w:w="40"/>
              <w:right w:type="dxa" w:w="80"/>
            </w:tcMar>
          </w:tcPr>
          <w:p>
            <w:pPr>
              <w:jc w:val="right"/>
            </w:pPr>
            <w:r>
              <w:rPr>
                <w:rFonts w:ascii="Arial" w:cs="Arial" w:eastAsia="Arial" w:hAnsi="Arial"/>
                <w:sz w:val="18"/>
                <w:szCs w:val="18"/>
              </w:rPr>
              <w:t xml:space="preserve">52,575</w:t>
            </w:r>
          </w:p>
        </w:tc>
        <w:tc>
          <w:tcPr>
            <w:tcMar>
              <w:top w:type="dxa" w:w="40"/>
              <w:left w:type="dxa" w:w="80"/>
              <w:bottom w:type="dxa" w:w="40"/>
              <w:right w:type="dxa" w:w="80"/>
            </w:tcMar>
          </w:tcPr>
          <w:p>
            <w:pPr>
              <w:jc w:val="right"/>
            </w:pPr>
            <w:r>
              <w:rPr>
                <w:rFonts w:ascii="Arial" w:cs="Arial" w:eastAsia="Arial" w:hAnsi="Arial"/>
                <w:sz w:val="18"/>
                <w:szCs w:val="18"/>
              </w:rPr>
              <w:t xml:space="preserve">13,302</w:t>
            </w:r>
          </w:p>
        </w:tc>
        <w:tc>
          <w:tcPr>
            <w:tcMar>
              <w:top w:type="dxa" w:w="40"/>
              <w:left w:type="dxa" w:w="80"/>
              <w:bottom w:type="dxa" w:w="40"/>
              <w:right w:type="dxa" w:w="80"/>
            </w:tcMar>
          </w:tcPr>
          <w:p>
            <w:pPr>
              <w:jc w:val="right"/>
            </w:pPr>
            <w:r>
              <w:rPr>
                <w:rFonts w:ascii="Arial" w:cs="Arial" w:eastAsia="Arial" w:hAnsi="Arial"/>
                <w:sz w:val="18"/>
                <w:szCs w:val="18"/>
              </w:rPr>
              <w:t xml:space="preserve">30,623</w:t>
            </w:r>
          </w:p>
        </w:tc>
        <w:tc>
          <w:tcPr>
            <w:tcMar>
              <w:top w:type="dxa" w:w="40"/>
              <w:left w:type="dxa" w:w="80"/>
              <w:bottom w:type="dxa" w:w="40"/>
              <w:right w:type="dxa" w:w="80"/>
            </w:tcMar>
          </w:tcPr>
          <w:p>
            <w:pPr>
              <w:jc w:val="right"/>
            </w:pPr>
            <w:r>
              <w:rPr>
                <w:rFonts w:ascii="Arial" w:cs="Arial" w:eastAsia="Arial" w:hAnsi="Arial"/>
                <w:sz w:val="18"/>
                <w:szCs w:val="18"/>
              </w:rPr>
              <w:t xml:space="preserve">36,672</w:t>
            </w:r>
          </w:p>
        </w:tc>
        <w:tc>
          <w:tcPr>
            <w:tcMar>
              <w:top w:type="dxa" w:w="40"/>
              <w:left w:type="dxa" w:w="80"/>
              <w:bottom w:type="dxa" w:w="40"/>
              <w:right w:type="dxa" w:w="80"/>
            </w:tcMar>
          </w:tcPr>
          <w:p>
            <w:pPr>
              <w:jc w:val="right"/>
            </w:pPr>
            <w:r>
              <w:rPr>
                <w:rFonts w:ascii="Arial" w:cs="Arial" w:eastAsia="Arial" w:hAnsi="Arial"/>
                <w:sz w:val="18"/>
                <w:szCs w:val="18"/>
              </w:rPr>
              <w:t xml:space="preserve">54,913</w:t>
            </w:r>
          </w:p>
        </w:tc>
        <w:tc>
          <w:tcPr>
            <w:tcMar>
              <w:top w:type="dxa" w:w="40"/>
              <w:left w:type="dxa" w:w="80"/>
              <w:bottom w:type="dxa" w:w="40"/>
              <w:right w:type="dxa" w:w="80"/>
            </w:tcMar>
          </w:tcPr>
          <w:p>
            <w:pPr>
              <w:jc w:val="right"/>
            </w:pPr>
            <w:r>
              <w:rPr>
                <w:rFonts w:ascii="Arial" w:cs="Arial" w:eastAsia="Arial" w:hAnsi="Arial"/>
                <w:sz w:val="18"/>
                <w:szCs w:val="18"/>
              </w:rPr>
              <w:t xml:space="preserve">20,997</w:t>
            </w:r>
          </w:p>
        </w:tc>
        <w:tc>
          <w:tcPr>
            <w:tcMar>
              <w:top w:type="dxa" w:w="40"/>
              <w:left w:type="dxa" w:w="80"/>
              <w:bottom w:type="dxa" w:w="40"/>
              <w:right w:type="dxa" w:w="80"/>
            </w:tcMar>
          </w:tcPr>
          <w:p>
            <w:pPr>
              <w:jc w:val="right"/>
            </w:pPr>
            <w:r>
              <w:rPr>
                <w:rFonts w:ascii="Arial" w:cs="Arial" w:eastAsia="Arial" w:hAnsi="Arial"/>
                <w:sz w:val="18"/>
                <w:szCs w:val="18"/>
              </w:rPr>
              <w:t xml:space="preserve">48,697</w:t>
            </w:r>
          </w:p>
        </w:tc>
        <w:tc>
          <w:tcPr>
            <w:tcMar>
              <w:top w:type="dxa" w:w="40"/>
              <w:left w:type="dxa" w:w="80"/>
              <w:bottom w:type="dxa" w:w="40"/>
              <w:right w:type="dxa" w:w="80"/>
            </w:tcMar>
          </w:tcPr>
          <w:p>
            <w:pPr>
              <w:jc w:val="right"/>
            </w:pPr>
            <w:r>
              <w:rPr>
                <w:rFonts w:ascii="Arial" w:cs="Arial" w:eastAsia="Arial" w:hAnsi="Arial"/>
                <w:sz w:val="18"/>
                <w:szCs w:val="18"/>
              </w:rPr>
              <w:t xml:space="preserve">27,700</w:t>
            </w:r>
          </w:p>
        </w:tc>
        <w:tc>
          <w:tcPr>
            <w:tcMar>
              <w:top w:type="dxa" w:w="40"/>
              <w:left w:type="dxa" w:w="80"/>
              <w:bottom w:type="dxa" w:w="40"/>
              <w:right w:type="dxa" w:w="80"/>
            </w:tcMar>
          </w:tcPr>
          <w:p>
            <w:pPr>
              <w:jc w:val="right"/>
            </w:pPr>
            <w:r>
              <w:rPr>
                <w:rFonts w:ascii="Arial" w:cs="Arial" w:eastAsia="Arial" w:hAnsi="Arial"/>
                <w:sz w:val="18"/>
                <w:szCs w:val="18"/>
              </w:rPr>
              <w:t xml:space="preserve">77,268</w:t>
            </w:r>
          </w:p>
        </w:tc>
        <w:tc>
          <w:tcPr>
            <w:tcMar>
              <w:top w:type="dxa" w:w="40"/>
              <w:left w:type="dxa" w:w="80"/>
              <w:bottom w:type="dxa" w:w="40"/>
              <w:right w:type="dxa" w:w="80"/>
            </w:tcMar>
          </w:tcPr>
          <w:p>
            <w:pPr>
              <w:jc w:val="right"/>
            </w:pPr>
            <w:r>
              <w:rPr>
                <w:rFonts w:ascii="Arial" w:cs="Arial" w:eastAsia="Arial" w:hAnsi="Arial"/>
                <w:sz w:val="18"/>
                <w:szCs w:val="18"/>
              </w:rPr>
              <w:t xml:space="preserve">102,343</w:t>
            </w:r>
          </w:p>
        </w:tc>
        <w:tc>
          <w:tcPr>
            <w:tcMar>
              <w:top w:type="dxa" w:w="40"/>
              <w:left w:type="dxa" w:w="80"/>
              <w:bottom w:type="dxa" w:w="40"/>
              <w:right w:type="dxa" w:w="80"/>
            </w:tcMar>
          </w:tcPr>
          <w:p>
            <w:pPr>
              <w:jc w:val="right"/>
            </w:pPr>
            <w:r>
              <w:rPr>
                <w:rFonts w:ascii="Arial" w:cs="Arial" w:eastAsia="Arial" w:hAnsi="Arial"/>
                <w:sz w:val="18"/>
                <w:szCs w:val="18"/>
              </w:rPr>
              <w:t xml:space="preserve">27,527</w:t>
            </w:r>
          </w:p>
        </w:tc>
        <w:tc>
          <w:tcPr>
            <w:tcMar>
              <w:top w:type="dxa" w:w="40"/>
              <w:left w:type="dxa" w:w="80"/>
              <w:bottom w:type="dxa" w:w="40"/>
              <w:right w:type="dxa" w:w="80"/>
            </w:tcMar>
          </w:tcPr>
          <w:p>
            <w:pPr>
              <w:jc w:val="right"/>
            </w:pPr>
            <w:r>
              <w:rPr>
                <w:rFonts w:ascii="Arial" w:cs="Arial" w:eastAsia="Arial" w:hAnsi="Arial"/>
                <w:sz w:val="18"/>
                <w:szCs w:val="18"/>
              </w:rPr>
              <w:t xml:space="preserve">53,825</w:t>
            </w:r>
          </w:p>
        </w:tc>
      </w:tr>
      <w:tr>
        <w:tc>
          <w:tcPr>
            <w:tcMar>
              <w:top w:type="dxa" w:w="40"/>
              <w:left w:type="dxa" w:w="80"/>
              <w:bottom w:type="dxa" w:w="40"/>
              <w:right w:type="dxa" w:w="80"/>
            </w:tcMar>
          </w:tcPr>
          <w:p>
            <w:r>
              <w:rPr>
                <w:rFonts w:ascii="Arial" w:cs="Arial" w:eastAsia="Arial" w:hAnsi="Arial"/>
                <w:sz w:val="18"/>
                <w:szCs w:val="18"/>
              </w:rPr>
              <w:t xml:space="preserve">Investments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93,843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2,349,957</w:t>
            </w:r>
          </w:p>
        </w:tc>
        <w:tc>
          <w:tcPr>
            <w:tcMar>
              <w:top w:type="dxa" w:w="40"/>
              <w:left w:type="dxa" w:w="80"/>
              <w:bottom w:type="dxa" w:w="40"/>
              <w:right w:type="dxa" w:w="80"/>
            </w:tcMar>
          </w:tcPr>
          <w:p>
            <w:pPr>
              <w:jc w:val="right"/>
            </w:pPr>
            <w:r>
              <w:rPr>
                <w:rFonts w:ascii="Arial" w:cs="Arial" w:eastAsia="Arial" w:hAnsi="Arial"/>
                <w:sz w:val="18"/>
                <w:szCs w:val="18"/>
              </w:rPr>
              <w:t xml:space="preserve">97,662</w:t>
            </w:r>
          </w:p>
        </w:tc>
        <w:tc>
          <w:tcPr>
            <w:tcMar>
              <w:top w:type="dxa" w:w="40"/>
              <w:left w:type="dxa" w:w="80"/>
              <w:bottom w:type="dxa" w:w="40"/>
              <w:right w:type="dxa" w:w="80"/>
            </w:tcMar>
          </w:tcPr>
          <w:p>
            <w:pPr>
              <w:jc w:val="right"/>
            </w:pPr>
            <w:r>
              <w:rPr>
                <w:rFonts w:ascii="Arial" w:cs="Arial" w:eastAsia="Arial" w:hAnsi="Arial"/>
                <w:sz w:val="18"/>
                <w:szCs w:val="18"/>
              </w:rPr>
              <w:t xml:space="preserve">99,843</w:t>
            </w:r>
          </w:p>
        </w:tc>
        <w:tc>
          <w:tcPr>
            <w:tcMar>
              <w:top w:type="dxa" w:w="40"/>
              <w:left w:type="dxa" w:w="80"/>
              <w:bottom w:type="dxa" w:w="40"/>
              <w:right w:type="dxa" w:w="80"/>
            </w:tcMar>
          </w:tcPr>
          <w:p>
            <w:pPr>
              <w:jc w:val="right"/>
            </w:pPr>
            <w:r>
              <w:rPr>
                <w:rFonts w:ascii="Arial" w:cs="Arial" w:eastAsia="Arial" w:hAnsi="Arial"/>
                <w:sz w:val="18"/>
                <w:szCs w:val="18"/>
              </w:rPr>
              <w:t xml:space="preserve">94,314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106,286</w:t>
            </w:r>
          </w:p>
        </w:tc>
        <w:tc>
          <w:tcPr>
            <w:tcMar>
              <w:top w:type="dxa" w:w="40"/>
              <w:left w:type="dxa" w:w="80"/>
              <w:bottom w:type="dxa" w:w="40"/>
              <w:right w:type="dxa" w:w="80"/>
            </w:tcMar>
          </w:tcPr>
          <w:p>
            <w:pPr>
              <w:jc w:val="right"/>
            </w:pPr>
            <w:r>
              <w:rPr>
                <w:rFonts w:ascii="Arial" w:cs="Arial" w:eastAsia="Arial" w:hAnsi="Arial"/>
                <w:sz w:val="18"/>
                <w:szCs w:val="18"/>
              </w:rPr>
              <w:t xml:space="preserve">103,056</w:t>
            </w:r>
          </w:p>
        </w:tc>
        <w:tc>
          <w:tcPr>
            <w:tcMar>
              <w:top w:type="dxa" w:w="40"/>
              <w:left w:type="dxa" w:w="80"/>
              <w:bottom w:type="dxa" w:w="40"/>
              <w:right w:type="dxa" w:w="80"/>
            </w:tcMar>
          </w:tcPr>
          <w:p>
            <w:pPr>
              <w:jc w:val="right"/>
            </w:pPr>
            <w:r>
              <w:rPr>
                <w:rFonts w:ascii="Arial" w:cs="Arial" w:eastAsia="Arial" w:hAnsi="Arial"/>
                <w:sz w:val="18"/>
                <w:szCs w:val="18"/>
              </w:rPr>
              <w:t xml:space="preserve">109,781</w:t>
            </w:r>
          </w:p>
        </w:tc>
      </w:tr>
      <w:tr>
        <w:tc>
          <w:tcPr>
            <w:tcMar>
              <w:top w:type="dxa" w:w="40"/>
              <w:left w:type="dxa" w:w="80"/>
              <w:bottom w:type="dxa" w:w="40"/>
              <w:right w:type="dxa" w:w="80"/>
            </w:tcMar>
          </w:tcPr>
          <w:p>
            <w:r>
              <w:rPr>
                <w:rFonts w:ascii="Arial" w:cs="Arial" w:eastAsia="Arial" w:hAnsi="Arial"/>
                <w:sz w:val="18"/>
                <w:szCs w:val="18"/>
              </w:rPr>
              <w:t xml:space="preserve">Depreciation &amp; amortisation</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52,676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30,416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59,648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24,088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46,549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r>
      <w:tr>
        <w:tc>
          <w:tcPr>
            <w:tcMar>
              <w:top w:type="dxa" w:w="40"/>
              <w:left w:type="dxa" w:w="80"/>
              <w:bottom w:type="dxa" w:w="40"/>
              <w:right w:type="dxa" w:w="80"/>
            </w:tcMar>
          </w:tcPr>
          <w:p>
            <w:r>
              <w:rPr>
                <w:rFonts w:ascii="Arial" w:cs="Arial" w:eastAsia="Arial" w:hAnsi="Arial"/>
                <w:sz w:val="18"/>
                <w:szCs w:val="18"/>
              </w:rPr>
              <w:t xml:space="preserve">Total liabilities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2,727,273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2,735,326</w:t>
            </w:r>
          </w:p>
        </w:tc>
        <w:tc>
          <w:tcPr>
            <w:tcMar>
              <w:top w:type="dxa" w:w="40"/>
              <w:left w:type="dxa" w:w="80"/>
              <w:bottom w:type="dxa" w:w="40"/>
              <w:right w:type="dxa" w:w="80"/>
            </w:tcMar>
          </w:tcPr>
          <w:p>
            <w:pPr>
              <w:jc w:val="right"/>
            </w:pPr>
            <w:r>
              <w:rPr>
                <w:rFonts w:ascii="Arial" w:cs="Arial" w:eastAsia="Arial" w:hAnsi="Arial"/>
                <w:sz w:val="18"/>
                <w:szCs w:val="18"/>
              </w:rPr>
              <w:t xml:space="preserve">2,823,202</w:t>
            </w:r>
          </w:p>
        </w:tc>
        <w:tc>
          <w:tcPr>
            <w:tcMar>
              <w:top w:type="dxa" w:w="40"/>
              <w:left w:type="dxa" w:w="80"/>
              <w:bottom w:type="dxa" w:w="40"/>
              <w:right w:type="dxa" w:w="80"/>
            </w:tcMar>
          </w:tcPr>
          <w:p>
            <w:pPr>
              <w:jc w:val="right"/>
            </w:pPr>
            <w:r>
              <w:rPr>
                <w:rFonts w:ascii="Arial" w:cs="Arial" w:eastAsia="Arial" w:hAnsi="Arial"/>
                <w:sz w:val="18"/>
                <w:szCs w:val="18"/>
              </w:rPr>
              <w:t xml:space="preserve">2,837,957</w:t>
            </w:r>
          </w:p>
        </w:tc>
        <w:tc>
          <w:tcPr>
            <w:tcMar>
              <w:top w:type="dxa" w:w="40"/>
              <w:left w:type="dxa" w:w="80"/>
              <w:bottom w:type="dxa" w:w="40"/>
              <w:right w:type="dxa" w:w="80"/>
            </w:tcMar>
          </w:tcPr>
          <w:p>
            <w:pPr>
              <w:jc w:val="right"/>
            </w:pPr>
            <w:r>
              <w:rPr>
                <w:rFonts w:ascii="Arial" w:cs="Arial" w:eastAsia="Arial" w:hAnsi="Arial"/>
                <w:sz w:val="18"/>
                <w:szCs w:val="18"/>
              </w:rPr>
              <w:t xml:space="preserve">2,875,949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2,884,118</w:t>
            </w:r>
          </w:p>
        </w:tc>
        <w:tc>
          <w:tcPr>
            <w:tcMar>
              <w:top w:type="dxa" w:w="40"/>
              <w:left w:type="dxa" w:w="80"/>
              <w:bottom w:type="dxa" w:w="40"/>
              <w:right w:type="dxa" w:w="80"/>
            </w:tcMar>
          </w:tcPr>
          <w:p>
            <w:pPr>
              <w:jc w:val="right"/>
            </w:pPr>
            <w:r>
              <w:rPr>
                <w:rFonts w:ascii="Arial" w:cs="Arial" w:eastAsia="Arial" w:hAnsi="Arial"/>
                <w:sz w:val="18"/>
                <w:szCs w:val="18"/>
              </w:rPr>
              <w:t xml:space="preserve">2,913,442</w:t>
            </w:r>
          </w:p>
        </w:tc>
        <w:tc>
          <w:tcPr>
            <w:tcMar>
              <w:top w:type="dxa" w:w="40"/>
              <w:left w:type="dxa" w:w="80"/>
              <w:bottom w:type="dxa" w:w="40"/>
              <w:right w:type="dxa" w:w="80"/>
            </w:tcMar>
          </w:tcPr>
          <w:p>
            <w:pPr>
              <w:jc w:val="right"/>
            </w:pPr>
            <w:r>
              <w:rPr>
                <w:rFonts w:ascii="Arial" w:cs="Arial" w:eastAsia="Arial" w:hAnsi="Arial"/>
                <w:sz w:val="18"/>
                <w:szCs w:val="18"/>
              </w:rPr>
              <w:t xml:space="preserve">2,905,267</w:t>
            </w:r>
          </w:p>
        </w:tc>
        <w:tc>
          <w:tcPr>
            <w:tcMar>
              <w:top w:type="dxa" w:w="40"/>
              <w:left w:type="dxa" w:w="80"/>
              <w:bottom w:type="dxa" w:w="40"/>
              <w:right w:type="dxa" w:w="80"/>
            </w:tcMar>
          </w:tcPr>
          <w:p>
            <w:pPr>
              <w:jc w:val="right"/>
            </w:pPr>
            <w:r>
              <w:rPr>
                <w:rFonts w:ascii="Arial" w:cs="Arial" w:eastAsia="Arial" w:hAnsi="Arial"/>
                <w:sz w:val="18"/>
                <w:szCs w:val="18"/>
              </w:rPr>
              <w:t xml:space="preserve">2,714,510</w:t>
            </w:r>
          </w:p>
        </w:tc>
      </w:tr>
      <w:tr>
        <w:tc>
          <w:tcPr>
            <w:tcMar>
              <w:top w:type="dxa" w:w="40"/>
              <w:left w:type="dxa" w:w="80"/>
              <w:bottom w:type="dxa" w:w="40"/>
              <w:right w:type="dxa" w:w="80"/>
            </w:tcMar>
          </w:tcPr>
          <w:p>
            <w:r>
              <w:rPr>
                <w:rFonts w:ascii="Arial" w:cs="Arial" w:eastAsia="Arial" w:hAnsi="Arial"/>
                <w:sz w:val="18"/>
                <w:szCs w:val="18"/>
              </w:rPr>
              <w:t xml:space="preserve">Current liabilities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847,213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912,401</w:t>
            </w:r>
          </w:p>
        </w:tc>
        <w:tc>
          <w:tcPr>
            <w:tcMar>
              <w:top w:type="dxa" w:w="40"/>
              <w:left w:type="dxa" w:w="80"/>
              <w:bottom w:type="dxa" w:w="40"/>
              <w:right w:type="dxa" w:w="80"/>
            </w:tcMar>
          </w:tcPr>
          <w:p>
            <w:pPr>
              <w:jc w:val="right"/>
            </w:pPr>
            <w:r>
              <w:rPr>
                <w:rFonts w:ascii="Arial" w:cs="Arial" w:eastAsia="Arial" w:hAnsi="Arial"/>
                <w:sz w:val="18"/>
                <w:szCs w:val="18"/>
              </w:rPr>
              <w:t xml:space="preserve">940,784</w:t>
            </w:r>
          </w:p>
        </w:tc>
        <w:tc>
          <w:tcPr>
            <w:tcMar>
              <w:top w:type="dxa" w:w="40"/>
              <w:left w:type="dxa" w:w="80"/>
              <w:bottom w:type="dxa" w:w="40"/>
              <w:right w:type="dxa" w:w="80"/>
            </w:tcMar>
          </w:tcPr>
          <w:p>
            <w:pPr>
              <w:jc w:val="right"/>
            </w:pPr>
            <w:r>
              <w:rPr>
                <w:rFonts w:ascii="Arial" w:cs="Arial" w:eastAsia="Arial" w:hAnsi="Arial"/>
                <w:sz w:val="18"/>
                <w:szCs w:val="18"/>
              </w:rPr>
              <w:t xml:space="preserve">893,979</w:t>
            </w:r>
          </w:p>
        </w:tc>
        <w:tc>
          <w:tcPr>
            <w:tcMar>
              <w:top w:type="dxa" w:w="40"/>
              <w:left w:type="dxa" w:w="80"/>
              <w:bottom w:type="dxa" w:w="40"/>
              <w:right w:type="dxa" w:w="80"/>
            </w:tcMar>
          </w:tcPr>
          <w:p>
            <w:pPr>
              <w:jc w:val="right"/>
            </w:pPr>
            <w:r>
              <w:rPr>
                <w:rFonts w:ascii="Arial" w:cs="Arial" w:eastAsia="Arial" w:hAnsi="Arial"/>
                <w:sz w:val="18"/>
                <w:szCs w:val="18"/>
              </w:rPr>
              <w:t xml:space="preserve">953,620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989,144</w:t>
            </w:r>
          </w:p>
        </w:tc>
        <w:tc>
          <w:tcPr>
            <w:tcMar>
              <w:top w:type="dxa" w:w="40"/>
              <w:left w:type="dxa" w:w="80"/>
              <w:bottom w:type="dxa" w:w="40"/>
              <w:right w:type="dxa" w:w="80"/>
            </w:tcMar>
          </w:tcPr>
          <w:p>
            <w:pPr>
              <w:jc w:val="right"/>
            </w:pPr>
            <w:r>
              <w:rPr>
                <w:rFonts w:ascii="Arial" w:cs="Arial" w:eastAsia="Arial" w:hAnsi="Arial"/>
                <w:sz w:val="18"/>
                <w:szCs w:val="18"/>
              </w:rPr>
              <w:t xml:space="preserve">965,765</w:t>
            </w:r>
          </w:p>
        </w:tc>
        <w:tc>
          <w:tcPr>
            <w:tcMar>
              <w:top w:type="dxa" w:w="40"/>
              <w:left w:type="dxa" w:w="80"/>
              <w:bottom w:type="dxa" w:w="40"/>
              <w:right w:type="dxa" w:w="80"/>
            </w:tcMar>
          </w:tcPr>
          <w:p>
            <w:pPr>
              <w:jc w:val="right"/>
            </w:pPr>
            <w:r>
              <w:rPr>
                <w:rFonts w:ascii="Arial" w:cs="Arial" w:eastAsia="Arial" w:hAnsi="Arial"/>
                <w:sz w:val="18"/>
                <w:szCs w:val="18"/>
              </w:rPr>
              <w:t xml:space="preserve">983,365</w:t>
            </w:r>
          </w:p>
        </w:tc>
        <w:tc>
          <w:tcPr>
            <w:tcMar>
              <w:top w:type="dxa" w:w="40"/>
              <w:left w:type="dxa" w:w="80"/>
              <w:bottom w:type="dxa" w:w="40"/>
              <w:right w:type="dxa" w:w="80"/>
            </w:tcMar>
          </w:tcPr>
          <w:p>
            <w:pPr>
              <w:jc w:val="right"/>
            </w:pPr>
            <w:r>
              <w:rPr>
                <w:rFonts w:ascii="Arial" w:cs="Arial" w:eastAsia="Arial" w:hAnsi="Arial"/>
                <w:sz w:val="18"/>
                <w:szCs w:val="18"/>
              </w:rPr>
              <w:t xml:space="preserve">768,266</w:t>
            </w:r>
          </w:p>
        </w:tc>
      </w:tr>
      <w:tr>
        <w:tc>
          <w:tcPr>
            <w:tcMar>
              <w:top w:type="dxa" w:w="40"/>
              <w:left w:type="dxa" w:w="80"/>
              <w:bottom w:type="dxa" w:w="40"/>
              <w:right w:type="dxa" w:w="80"/>
            </w:tcMar>
          </w:tcPr>
          <w:p>
            <w:r>
              <w:rPr>
                <w:rFonts w:ascii="Arial" w:cs="Arial" w:eastAsia="Arial" w:hAnsi="Arial"/>
                <w:sz w:val="18"/>
                <w:szCs w:val="18"/>
              </w:rPr>
              <w:t xml:space="preserve">Total debt</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2,144,253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2,182,292</w:t>
            </w:r>
          </w:p>
        </w:tc>
        <w:tc>
          <w:tcPr>
            <w:tcMar>
              <w:top w:type="dxa" w:w="40"/>
              <w:left w:type="dxa" w:w="80"/>
              <w:bottom w:type="dxa" w:w="40"/>
              <w:right w:type="dxa" w:w="80"/>
            </w:tcMar>
          </w:tcPr>
          <w:p>
            <w:pPr>
              <w:jc w:val="right"/>
            </w:pPr>
            <w:r>
              <w:rPr>
                <w:rFonts w:ascii="Arial" w:cs="Arial" w:eastAsia="Arial" w:hAnsi="Arial"/>
                <w:sz w:val="18"/>
                <w:szCs w:val="18"/>
              </w:rPr>
              <w:t xml:space="preserve">2,215,318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2,313,355</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2,333,695</w:t>
            </w:r>
          </w:p>
        </w:tc>
        <w:tc>
          <w:tcPr>
            <w:tcMar>
              <w:top w:type="dxa" w:w="40"/>
              <w:left w:type="dxa" w:w="80"/>
              <w:bottom w:type="dxa" w:w="40"/>
              <w:right w:type="dxa" w:w="80"/>
            </w:tcMar>
          </w:tcPr>
          <w:p>
            <w:pPr>
              <w:jc w:val="right"/>
            </w:pPr>
            <w:r>
              <w:rPr>
                <w:rFonts w:ascii="Arial" w:cs="Arial" w:eastAsia="Arial" w:hAnsi="Arial"/>
                <w:sz w:val="18"/>
                <w:szCs w:val="18"/>
              </w:rPr>
              <w:t xml:space="preserve">2,273,434</w:t>
            </w:r>
          </w:p>
        </w:tc>
        <w:tc>
          <w:tcPr>
            <w:tcMar>
              <w:top w:type="dxa" w:w="40"/>
              <w:left w:type="dxa" w:w="80"/>
              <w:bottom w:type="dxa" w:w="40"/>
              <w:right w:type="dxa" w:w="80"/>
            </w:tcMar>
          </w:tcPr>
          <w:p>
            <w:pPr>
              <w:jc w:val="right"/>
            </w:pPr>
            <w:r>
              <w:rPr>
                <w:rFonts w:ascii="Arial" w:cs="Arial" w:eastAsia="Arial" w:hAnsi="Arial"/>
                <w:sz w:val="18"/>
                <w:szCs w:val="18"/>
              </w:rPr>
              <w:t xml:space="preserve">2,188,434</w:t>
            </w:r>
          </w:p>
        </w:tc>
      </w:tr>
      <w:tr>
        <w:tc>
          <w:tcPr>
            <w:tcMar>
              <w:top w:type="dxa" w:w="40"/>
              <w:left w:type="dxa" w:w="80"/>
              <w:bottom w:type="dxa" w:w="40"/>
              <w:right w:type="dxa" w:w="80"/>
            </w:tcMar>
          </w:tcPr>
          <w:p>
            <w:r>
              <w:rPr>
                <w:rFonts w:ascii="Arial" w:cs="Arial" w:eastAsia="Arial" w:hAnsi="Arial"/>
                <w:sz w:val="18"/>
                <w:szCs w:val="18"/>
              </w:rPr>
              <w:t xml:space="preserve">Short-term debt</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380,164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478,768</w:t>
            </w:r>
          </w:p>
        </w:tc>
        <w:tc>
          <w:tcPr>
            <w:tcMar>
              <w:top w:type="dxa" w:w="40"/>
              <w:left w:type="dxa" w:w="80"/>
              <w:bottom w:type="dxa" w:w="40"/>
              <w:right w:type="dxa" w:w="80"/>
            </w:tcMar>
          </w:tcPr>
          <w:p>
            <w:pPr>
              <w:jc w:val="right"/>
            </w:pPr>
            <w:r>
              <w:rPr>
                <w:rFonts w:ascii="Arial" w:cs="Arial" w:eastAsia="Arial" w:hAnsi="Arial"/>
                <w:sz w:val="18"/>
                <w:szCs w:val="18"/>
              </w:rPr>
              <w:t xml:space="preserve">461,471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520,812</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513,066</w:t>
            </w:r>
          </w:p>
        </w:tc>
        <w:tc>
          <w:tcPr>
            <w:tcMar>
              <w:top w:type="dxa" w:w="40"/>
              <w:left w:type="dxa" w:w="80"/>
              <w:bottom w:type="dxa" w:w="40"/>
              <w:right w:type="dxa" w:w="80"/>
            </w:tcMar>
          </w:tcPr>
          <w:p>
            <w:pPr>
              <w:jc w:val="right"/>
            </w:pPr>
            <w:r>
              <w:rPr>
                <w:rFonts w:ascii="Arial" w:cs="Arial" w:eastAsia="Arial" w:hAnsi="Arial"/>
                <w:sz w:val="18"/>
                <w:szCs w:val="18"/>
              </w:rPr>
              <w:t xml:space="preserve">477,075</w:t>
            </w:r>
          </w:p>
        </w:tc>
        <w:tc>
          <w:tcPr>
            <w:tcMar>
              <w:top w:type="dxa" w:w="40"/>
              <w:left w:type="dxa" w:w="80"/>
              <w:bottom w:type="dxa" w:w="40"/>
              <w:right w:type="dxa" w:w="80"/>
            </w:tcMar>
          </w:tcPr>
          <w:p>
            <w:pPr>
              <w:jc w:val="right"/>
            </w:pPr>
            <w:r>
              <w:rPr>
                <w:rFonts w:ascii="Arial" w:cs="Arial" w:eastAsia="Arial" w:hAnsi="Arial"/>
                <w:sz w:val="18"/>
                <w:szCs w:val="18"/>
              </w:rPr>
              <w:t xml:space="preserve">368,100</w:t>
            </w:r>
          </w:p>
        </w:tc>
      </w:tr>
      <w:tr>
        <w:tc>
          <w:tcPr>
            <w:tcMar>
              <w:top w:type="dxa" w:w="40"/>
              <w:left w:type="dxa" w:w="80"/>
              <w:bottom w:type="dxa" w:w="40"/>
              <w:right w:type="dxa" w:w="80"/>
            </w:tcMar>
          </w:tcPr>
          <w:p>
            <w:r>
              <w:rPr>
                <w:rFonts w:ascii="Arial" w:cs="Arial" w:eastAsia="Arial" w:hAnsi="Arial"/>
                <w:sz w:val="18"/>
                <w:szCs w:val="18"/>
              </w:rPr>
              <w:t xml:space="preserve">Operating cash flow</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404,090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97,171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188,087</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69,920</w:t>
            </w:r>
          </w:p>
        </w:tc>
        <w:tc>
          <w:tcPr>
            <w:tcMar>
              <w:top w:type="dxa" w:w="40"/>
              <w:left w:type="dxa" w:w="80"/>
              <w:bottom w:type="dxa" w:w="40"/>
              <w:right w:type="dxa" w:w="80"/>
            </w:tcMar>
          </w:tcPr>
          <w:p>
            <w:pPr>
              <w:jc w:val="right"/>
            </w:pPr>
            <w:r>
              <w:rPr>
                <w:rFonts w:ascii="Arial" w:cs="Arial" w:eastAsia="Arial" w:hAnsi="Arial"/>
                <w:sz w:val="18"/>
                <w:szCs w:val="18"/>
              </w:rPr>
              <w:t xml:space="preserve">-4,531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194,653</w:t>
            </w:r>
          </w:p>
        </w:tc>
        <w:tc>
          <w:tcPr>
            <w:tcMar>
              <w:top w:type="dxa" w:w="40"/>
              <w:left w:type="dxa" w:w="80"/>
              <w:bottom w:type="dxa" w:w="40"/>
              <w:right w:type="dxa" w:w="80"/>
            </w:tcMar>
          </w:tcPr>
          <w:p>
            <w:pPr>
              <w:jc w:val="right"/>
            </w:pPr>
            <w:r>
              <w:rPr>
                <w:rFonts w:ascii="Arial" w:cs="Arial" w:eastAsia="Arial" w:hAnsi="Arial"/>
                <w:sz w:val="18"/>
                <w:szCs w:val="18"/>
              </w:rPr>
              <w:t xml:space="preserve">106,073</w:t>
            </w:r>
          </w:p>
        </w:tc>
        <w:tc>
          <w:tcPr>
            <w:tcMar>
              <w:top w:type="dxa" w:w="40"/>
              <w:left w:type="dxa" w:w="80"/>
              <w:bottom w:type="dxa" w:w="40"/>
              <w:right w:type="dxa" w:w="80"/>
            </w:tcMar>
          </w:tcPr>
          <w:p>
            <w:pPr>
              <w:jc w:val="right"/>
            </w:pPr>
            <w:r>
              <w:rPr>
                <w:rFonts w:ascii="Arial" w:cs="Arial" w:eastAsia="Arial" w:hAnsi="Arial"/>
                <w:sz w:val="18"/>
                <w:szCs w:val="18"/>
              </w:rPr>
              <w:t xml:space="preserve">121,218</w:t>
            </w:r>
          </w:p>
        </w:tc>
      </w:tr>
      <w:tr>
        <w:tc>
          <w:tcPr>
            <w:tcMar>
              <w:top w:type="dxa" w:w="40"/>
              <w:left w:type="dxa" w:w="80"/>
              <w:bottom w:type="dxa" w:w="40"/>
              <w:right w:type="dxa" w:w="80"/>
            </w:tcMar>
          </w:tcPr>
          <w:p>
            <w:r>
              <w:rPr>
                <w:rFonts w:ascii="Arial" w:cs="Arial" w:eastAsia="Arial" w:hAnsi="Arial"/>
                <w:sz w:val="18"/>
                <w:szCs w:val="18"/>
              </w:rPr>
              <w:t xml:space="preserve">Long-term debt</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1,764,089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1,703,524</w:t>
            </w:r>
          </w:p>
        </w:tc>
        <w:tc>
          <w:tcPr>
            <w:tcMar>
              <w:top w:type="dxa" w:w="40"/>
              <w:left w:type="dxa" w:w="80"/>
              <w:bottom w:type="dxa" w:w="40"/>
              <w:right w:type="dxa" w:w="80"/>
            </w:tcMar>
          </w:tcPr>
          <w:p>
            <w:pPr>
              <w:jc w:val="right"/>
            </w:pPr>
            <w:r>
              <w:rPr>
                <w:rFonts w:ascii="Arial" w:cs="Arial" w:eastAsia="Arial" w:hAnsi="Arial"/>
                <w:sz w:val="18"/>
                <w:szCs w:val="18"/>
              </w:rPr>
              <w:t xml:space="preserve">1,753,847</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1,792,543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1,765,934</w:t>
            </w:r>
          </w:p>
        </w:tc>
        <w:tc>
          <w:tcPr>
            <w:tcMar>
              <w:top w:type="dxa" w:w="40"/>
              <w:left w:type="dxa" w:w="80"/>
              <w:bottom w:type="dxa" w:w="40"/>
              <w:right w:type="dxa" w:w="80"/>
            </w:tcMar>
          </w:tcPr>
          <w:p>
            <w:pPr>
              <w:jc w:val="right"/>
            </w:pPr>
            <w:r>
              <w:rPr>
                <w:rFonts w:ascii="Arial" w:cs="Arial" w:eastAsia="Arial" w:hAnsi="Arial"/>
                <w:sz w:val="18"/>
                <w:szCs w:val="18"/>
              </w:rPr>
              <w:t xml:space="preserve">1,820,632</w:t>
            </w:r>
          </w:p>
        </w:tc>
        <w:tc>
          <w:tcPr>
            <w:tcMar>
              <w:top w:type="dxa" w:w="40"/>
              <w:left w:type="dxa" w:w="80"/>
              <w:bottom w:type="dxa" w:w="40"/>
              <w:right w:type="dxa" w:w="80"/>
            </w:tcMar>
          </w:tcPr>
          <w:p>
            <w:pPr>
              <w:jc w:val="right"/>
            </w:pPr>
            <w:r>
              <w:rPr>
                <w:rFonts w:ascii="Arial" w:cs="Arial" w:eastAsia="Arial" w:hAnsi="Arial"/>
                <w:sz w:val="18"/>
                <w:szCs w:val="18"/>
              </w:rPr>
              <w:t xml:space="preserve">1,796,359</w:t>
            </w:r>
          </w:p>
        </w:tc>
        <w:tc>
          <w:tcPr>
            <w:tcMar>
              <w:top w:type="dxa" w:w="40"/>
              <w:left w:type="dxa" w:w="80"/>
              <w:bottom w:type="dxa" w:w="40"/>
              <w:right w:type="dxa" w:w="80"/>
            </w:tcMar>
          </w:tcPr>
          <w:p>
            <w:pPr>
              <w:jc w:val="right"/>
            </w:pPr>
            <w:r>
              <w:rPr>
                <w:rFonts w:ascii="Arial" w:cs="Arial" w:eastAsia="Arial" w:hAnsi="Arial"/>
                <w:sz w:val="18"/>
                <w:szCs w:val="18"/>
              </w:rPr>
              <w:t xml:space="preserve">1,820,334</w:t>
            </w:r>
          </w:p>
        </w:tc>
      </w:tr>
      <w:tr>
        <w:tc>
          <w:tcPr>
            <w:tcMar>
              <w:top w:type="dxa" w:w="40"/>
              <w:left w:type="dxa" w:w="80"/>
              <w:bottom w:type="dxa" w:w="40"/>
              <w:right w:type="dxa" w:w="80"/>
            </w:tcMar>
          </w:tcPr>
          <w:p>
            <w:r>
              <w:rPr>
                <w:rFonts w:ascii="Arial" w:cs="Arial" w:eastAsia="Arial" w:hAnsi="Arial"/>
                <w:sz w:val="18"/>
                <w:szCs w:val="18"/>
              </w:rPr>
              <w:t xml:space="preserve">Capital expenditure</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-38,069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-59,261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-129,648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-54,903</w:t>
            </w:r>
          </w:p>
        </w:tc>
        <w:tc>
          <w:tcPr>
            <w:tcMar>
              <w:top w:type="dxa" w:w="40"/>
              <w:left w:type="dxa" w:w="80"/>
              <w:bottom w:type="dxa" w:w="40"/>
              <w:right w:type="dxa" w:w="80"/>
            </w:tcMar>
          </w:tcPr>
          <w:p>
            <w:pPr>
              <w:jc w:val="right"/>
            </w:pPr>
            <w:r>
              <w:rPr>
                <w:rFonts w:ascii="Arial" w:cs="Arial" w:eastAsia="Arial" w:hAnsi="Arial"/>
                <w:sz w:val="18"/>
                <w:szCs w:val="18"/>
              </w:rPr>
              <w:t xml:space="preserve">-34,276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-88,330</w:t>
            </w:r>
          </w:p>
        </w:tc>
        <w:tc>
          <w:tcPr>
            <w:tcMar>
              <w:top w:type="dxa" w:w="40"/>
              <w:left w:type="dxa" w:w="80"/>
              <w:bottom w:type="dxa" w:w="40"/>
              <w:right w:type="dxa" w:w="80"/>
            </w:tcMar>
          </w:tcPr>
          <w:p>
            <w:pPr>
              <w:jc w:val="right"/>
            </w:pPr>
            <w:r>
              <w:rPr>
                <w:rFonts w:ascii="Arial" w:cs="Arial" w:eastAsia="Arial" w:hAnsi="Arial"/>
                <w:sz w:val="18"/>
                <w:szCs w:val="18"/>
              </w:rPr>
              <w:t xml:space="preserve">-5,845</w:t>
            </w:r>
          </w:p>
        </w:tc>
        <w:tc>
          <w:tcPr>
            <w:tcMar>
              <w:top w:type="dxa" w:w="40"/>
              <w:left w:type="dxa" w:w="80"/>
              <w:bottom w:type="dxa" w:w="40"/>
              <w:right w:type="dxa" w:w="80"/>
            </w:tcMar>
          </w:tcPr>
          <w:p>
            <w:pPr>
              <w:jc w:val="right"/>
            </w:pPr>
            <w:r>
              <w:rPr>
                <w:rFonts w:ascii="Arial" w:cs="Arial" w:eastAsia="Arial" w:hAnsi="Arial"/>
                <w:sz w:val="18"/>
                <w:szCs w:val="18"/>
              </w:rPr>
              <w:t xml:space="preserve">-12,952</w:t>
            </w:r>
          </w:p>
        </w:tc>
      </w:tr>
      <w:tr>
        <w:tc>
          <w:tcPr>
            <w:tcMar>
              <w:top w:type="dxa" w:w="40"/>
              <w:left w:type="dxa" w:w="80"/>
              <w:bottom w:type="dxa" w:w="40"/>
              <w:right w:type="dxa" w:w="80"/>
            </w:tcMar>
          </w:tcPr>
          <w:p>
            <w:r>
              <w:rPr>
                <w:rFonts w:ascii="Arial" w:cs="Arial" w:eastAsia="Arial" w:hAnsi="Arial"/>
                <w:sz w:val="18"/>
                <w:szCs w:val="18"/>
              </w:rPr>
              <w:t xml:space="preserve">Net worth</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1,730,670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1,713,711</w:t>
            </w:r>
          </w:p>
        </w:tc>
        <w:tc>
          <w:tcPr>
            <w:tcMar>
              <w:top w:type="dxa" w:w="40"/>
              <w:left w:type="dxa" w:w="80"/>
              <w:bottom w:type="dxa" w:w="40"/>
              <w:right w:type="dxa" w:w="80"/>
            </w:tcMar>
          </w:tcPr>
          <w:p>
            <w:pPr>
              <w:jc w:val="right"/>
            </w:pPr>
            <w:r>
              <w:rPr>
                <w:rFonts w:ascii="Arial" w:cs="Arial" w:eastAsia="Arial" w:hAnsi="Arial"/>
                <w:sz w:val="18"/>
                <w:szCs w:val="18"/>
              </w:rPr>
              <w:t xml:space="preserve">1,709,284</w:t>
            </w:r>
          </w:p>
        </w:tc>
        <w:tc>
          <w:tcPr>
            <w:tcMar>
              <w:top w:type="dxa" w:w="40"/>
              <w:left w:type="dxa" w:w="80"/>
              <w:bottom w:type="dxa" w:w="40"/>
              <w:right w:type="dxa" w:w="80"/>
            </w:tcMar>
          </w:tcPr>
          <w:p>
            <w:pPr>
              <w:jc w:val="right"/>
            </w:pPr>
            <w:r>
              <w:rPr>
                <w:rFonts w:ascii="Arial" w:cs="Arial" w:eastAsia="Arial" w:hAnsi="Arial"/>
                <w:sz w:val="18"/>
                <w:szCs w:val="18"/>
              </w:rPr>
              <w:t xml:space="preserve">1,691,194</w:t>
            </w:r>
          </w:p>
        </w:tc>
        <w:tc>
          <w:tcPr>
            <w:tcMar>
              <w:top w:type="dxa" w:w="40"/>
              <w:left w:type="dxa" w:w="80"/>
              <w:bottom w:type="dxa" w:w="40"/>
              <w:right w:type="dxa" w:w="80"/>
            </w:tcMar>
          </w:tcPr>
          <w:p>
            <w:pPr>
              <w:jc w:val="right"/>
            </w:pPr>
            <w:r>
              <w:rPr>
                <w:rFonts w:ascii="Arial" w:cs="Arial" w:eastAsia="Arial" w:hAnsi="Arial"/>
                <w:sz w:val="18"/>
                <w:szCs w:val="18"/>
              </w:rPr>
              <w:t xml:space="preserve">1,713,248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1,746,870</w:t>
            </w:r>
          </w:p>
        </w:tc>
        <w:tc>
          <w:tcPr>
            <w:tcMar>
              <w:top w:type="dxa" w:w="40"/>
              <w:left w:type="dxa" w:w="80"/>
              <w:bottom w:type="dxa" w:w="40"/>
              <w:right w:type="dxa" w:w="80"/>
            </w:tcMar>
          </w:tcPr>
          <w:p>
            <w:pPr>
              <w:jc w:val="right"/>
            </w:pPr>
            <w:r>
              <w:rPr>
                <w:rFonts w:ascii="Arial" w:cs="Arial" w:eastAsia="Arial" w:hAnsi="Arial"/>
                <w:sz w:val="18"/>
                <w:szCs w:val="18"/>
              </w:rPr>
              <w:t xml:space="preserve">1,776,035</w:t>
            </w:r>
          </w:p>
        </w:tc>
        <w:tc>
          <w:tcPr>
            <w:tcMar>
              <w:top w:type="dxa" w:w="40"/>
              <w:left w:type="dxa" w:w="80"/>
              <w:bottom w:type="dxa" w:w="40"/>
              <w:right w:type="dxa" w:w="80"/>
            </w:tcMar>
          </w:tcPr>
          <w:p>
            <w:pPr>
              <w:jc w:val="right"/>
            </w:pPr>
            <w:r>
              <w:rPr>
                <w:rFonts w:ascii="Arial" w:cs="Arial" w:eastAsia="Arial" w:hAnsi="Arial"/>
                <w:sz w:val="18"/>
                <w:szCs w:val="18"/>
              </w:rPr>
              <w:t xml:space="preserve">1,731,789</w:t>
            </w:r>
          </w:p>
        </w:tc>
        <w:tc>
          <w:tcPr>
            <w:tcMar>
              <w:top w:type="dxa" w:w="40"/>
              <w:left w:type="dxa" w:w="80"/>
              <w:bottom w:type="dxa" w:w="40"/>
              <w:right w:type="dxa" w:w="80"/>
            </w:tcMar>
          </w:tcPr>
          <w:p>
            <w:pPr>
              <w:jc w:val="right"/>
            </w:pPr>
            <w:r>
              <w:rPr>
                <w:rFonts w:ascii="Arial" w:cs="Arial" w:eastAsia="Arial" w:hAnsi="Arial"/>
                <w:sz w:val="18"/>
                <w:szCs w:val="18"/>
              </w:rPr>
              <w:t xml:space="preserve">1,759,626</w:t>
            </w:r>
          </w:p>
        </w:tc>
      </w:tr>
      <w:tr>
        <w:tc>
          <w:tcPr>
            <w:tcMar>
              <w:top w:type="dxa" w:w="40"/>
              <w:left w:type="dxa" w:w="80"/>
              <w:bottom w:type="dxa" w:w="40"/>
              <w:right w:type="dxa" w:w="80"/>
            </w:tcMar>
          </w:tcPr>
          <w:p>
            <w:r>
              <w:rPr>
                <w:rFonts w:ascii="Arial" w:cs="Arial" w:eastAsia="Arial" w:hAnsi="Arial"/>
                <w:sz w:val="18"/>
                <w:szCs w:val="18"/>
              </w:rPr>
              <w:t xml:space="preserve">Dividends paid</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-34,294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-34,294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-45,726</w:t>
            </w:r>
          </w:p>
        </w:tc>
        <w:tc>
          <w:tcPr>
            <w:tcMar>
              <w:top w:type="dxa" w:w="40"/>
              <w:left w:type="dxa" w:w="80"/>
              <w:bottom w:type="dxa" w:w="40"/>
              <w:right w:type="dxa" w:w="80"/>
            </w:tcMar>
          </w:tcPr>
          <w:p>
            <w:pPr>
              <w:jc w:val="right"/>
            </w:pPr>
            <w:r>
              <w:rPr>
                <w:rFonts w:ascii="Arial" w:cs="Arial" w:eastAsia="Arial" w:hAnsi="Arial"/>
                <w:sz w:val="18"/>
                <w:szCs w:val="18"/>
              </w:rPr>
              <w:t xml:space="preserve">-45,726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-45,726</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pPr>
              <w:jc w:val="right"/>
            </w:pPr>
            <w:r>
              <w:rPr>
                <w:rFonts w:ascii="Arial" w:cs="Arial" w:eastAsia="Arial" w:hAnsi="Arial"/>
                <w:sz w:val="18"/>
                <w:szCs w:val="18"/>
              </w:rPr>
              <w:t xml:space="preserve">-68,589</w:t>
            </w:r>
          </w:p>
        </w:tc>
      </w:tr>
      <w:tr>
        <w:tc>
          <w:tcPr>
            <w:tcMar>
              <w:top w:type="dxa" w:w="40"/>
              <w:left w:type="dxa" w:w="80"/>
              <w:bottom w:type="dxa" w:w="40"/>
              <w:right w:type="dxa" w:w="80"/>
            </w:tcMar>
          </w:tcPr>
          <w:p>
            <w:r>
              <w:rPr>
                <w:rFonts w:ascii="Arial" w:cs="Arial" w:eastAsia="Arial" w:hAnsi="Arial"/>
                <w:sz w:val="18"/>
                <w:szCs w:val="18"/>
              </w:rPr>
              <w:t xml:space="preserve">Tangible net worth</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1,660,260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1,645,881</w:t>
            </w:r>
          </w:p>
        </w:tc>
        <w:tc>
          <w:tcPr>
            <w:tcMar>
              <w:top w:type="dxa" w:w="40"/>
              <w:left w:type="dxa" w:w="80"/>
              <w:bottom w:type="dxa" w:w="40"/>
              <w:right w:type="dxa" w:w="80"/>
            </w:tcMar>
          </w:tcPr>
          <w:p>
            <w:pPr>
              <w:jc w:val="right"/>
            </w:pPr>
            <w:r>
              <w:rPr>
                <w:rFonts w:ascii="Arial" w:cs="Arial" w:eastAsia="Arial" w:hAnsi="Arial"/>
                <w:sz w:val="18"/>
                <w:szCs w:val="18"/>
              </w:rPr>
              <w:t xml:space="preserve">1,642,170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1,647,739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1,712,032</w:t>
            </w:r>
          </w:p>
        </w:tc>
        <w:tc>
          <w:tcPr>
            <w:tcMar>
              <w:top w:type="dxa" w:w="40"/>
              <w:left w:type="dxa" w:w="80"/>
              <w:bottom w:type="dxa" w:w="40"/>
              <w:right w:type="dxa" w:w="80"/>
            </w:tcMar>
          </w:tcPr>
          <w:p>
            <w:pPr>
              <w:jc w:val="right"/>
            </w:pPr>
            <w:r>
              <w:rPr>
                <w:rFonts w:ascii="Arial" w:cs="Arial" w:eastAsia="Arial" w:hAnsi="Arial"/>
                <w:sz w:val="18"/>
                <w:szCs w:val="18"/>
              </w:rPr>
              <w:t xml:space="preserve">1,668,494</w:t>
            </w:r>
          </w:p>
        </w:tc>
        <w:tc>
          <w:tcPr>
            <w:tcMar>
              <w:top w:type="dxa" w:w="40"/>
              <w:left w:type="dxa" w:w="80"/>
              <w:bottom w:type="dxa" w:w="40"/>
              <w:right w:type="dxa" w:w="80"/>
            </w:tcMar>
          </w:tcPr>
          <w:p>
            <w:pPr>
              <w:jc w:val="right"/>
            </w:pPr>
            <w:r>
              <w:rPr>
                <w:rFonts w:ascii="Arial" w:cs="Arial" w:eastAsia="Arial" w:hAnsi="Arial"/>
                <w:sz w:val="18"/>
                <w:szCs w:val="18"/>
              </w:rPr>
              <w:t xml:space="preserve">1,697,036</w:t>
            </w:r>
          </w:p>
        </w:tc>
      </w:tr>
      <w:tr>
        <w:tc>
          <w:tcPr>
            <w:tcMar>
              <w:top w:type="dxa" w:w="40"/>
              <w:left w:type="dxa" w:w="80"/>
              <w:bottom w:type="dxa" w:w="40"/>
              <w:right w:type="dxa" w:w="80"/>
            </w:tcMar>
          </w:tcPr>
          <w:p>
            <w:r>
              <w:rPr>
                <w:rFonts w:ascii="Arial" w:cs="Arial" w:eastAsia="Arial" w:hAnsi="Arial"/>
                <w:sz w:val="18"/>
                <w:szCs w:val="18"/>
              </w:rPr>
              <w:t xml:space="preserve">Debt service</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814,373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-311,781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-613,509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-361,161</w:t>
            </w:r>
          </w:p>
        </w:tc>
        <w:tc>
          <w:tcPr>
            <w:tcMar>
              <w:top w:type="dxa" w:w="40"/>
              <w:left w:type="dxa" w:w="80"/>
              <w:bottom w:type="dxa" w:w="40"/>
              <w:right w:type="dxa" w:w="80"/>
            </w:tcMar>
          </w:tcPr>
          <w:p>
            <w:pPr>
              <w:jc w:val="right"/>
            </w:pPr>
            <w:r>
              <w:rPr>
                <w:rFonts w:ascii="Arial" w:cs="Arial" w:eastAsia="Arial" w:hAnsi="Arial"/>
                <w:sz w:val="18"/>
                <w:szCs w:val="18"/>
              </w:rPr>
              <w:t xml:space="preserve">-185,085</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-676,999</w:t>
            </w:r>
          </w:p>
        </w:tc>
        <w:tc>
          <w:tcPr>
            <w:tcMar>
              <w:top w:type="dxa" w:w="40"/>
              <w:left w:type="dxa" w:w="80"/>
              <w:bottom w:type="dxa" w:w="40"/>
              <w:right w:type="dxa" w:w="80"/>
            </w:tcMar>
          </w:tcPr>
          <w:p>
            <w:pPr>
              <w:jc w:val="right"/>
            </w:pPr>
            <w:r>
              <w:rPr>
                <w:rFonts w:ascii="Arial" w:cs="Arial" w:eastAsia="Arial" w:hAnsi="Arial"/>
                <w:sz w:val="18"/>
                <w:szCs w:val="18"/>
              </w:rPr>
              <w:t xml:space="preserve">-159,980</w:t>
            </w:r>
          </w:p>
        </w:tc>
        <w:tc>
          <w:tcPr>
            <w:tcMar>
              <w:top w:type="dxa" w:w="40"/>
              <w:left w:type="dxa" w:w="80"/>
              <w:bottom w:type="dxa" w:w="40"/>
              <w:right w:type="dxa" w:w="80"/>
            </w:tcMar>
          </w:tcPr>
          <w:p>
            <w:pPr>
              <w:jc w:val="right"/>
            </w:pPr>
            <w:r>
              <w:rPr>
                <w:rFonts w:ascii="Arial" w:cs="Arial" w:eastAsia="Arial" w:hAnsi="Arial"/>
                <w:sz w:val="18"/>
                <w:szCs w:val="18"/>
              </w:rPr>
              <w:t xml:space="preserve">-359,470</w:t>
            </w:r>
          </w:p>
        </w:tc>
      </w:tr>
      <w:tr>
        <w:tc>
          <w:tcPr>
            <w:tcMar>
              <w:top w:type="dxa" w:w="40"/>
              <w:left w:type="dxa" w:w="80"/>
              <w:bottom w:type="dxa" w:w="40"/>
              <w:right w:type="dxa" w:w="80"/>
            </w:tcMar>
          </w:tcPr>
          <w:p>
            <w:r>
              <w:rPr>
                <w:rFonts w:ascii="Arial" w:cs="Arial" w:eastAsia="Arial" w:hAnsi="Arial"/>
                <w:sz w:val="18"/>
                <w:szCs w:val="18"/>
              </w:rPr>
              <w:t xml:space="preserve">Related-party balances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276,930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284,640</w:t>
            </w:r>
          </w:p>
        </w:tc>
        <w:tc>
          <w:tcPr>
            <w:tcMar>
              <w:top w:type="dxa" w:w="40"/>
              <w:left w:type="dxa" w:w="80"/>
              <w:bottom w:type="dxa" w:w="40"/>
              <w:right w:type="dxa" w:w="80"/>
            </w:tcMar>
          </w:tcPr>
          <w:p>
            <w:pPr>
              <w:jc w:val="right"/>
            </w:pPr>
            <w:r>
              <w:rPr>
                <w:rFonts w:ascii="Arial" w:cs="Arial" w:eastAsia="Arial" w:hAnsi="Arial"/>
                <w:sz w:val="18"/>
                <w:szCs w:val="18"/>
              </w:rPr>
              <w:t xml:space="preserve">288,009</w:t>
            </w:r>
          </w:p>
        </w:tc>
        <w:tc>
          <w:tcPr>
            <w:tcMar>
              <w:top w:type="dxa" w:w="40"/>
              <w:left w:type="dxa" w:w="80"/>
              <w:bottom w:type="dxa" w:w="40"/>
              <w:right w:type="dxa" w:w="80"/>
            </w:tcMar>
          </w:tcPr>
          <w:p>
            <w:pPr>
              <w:jc w:val="right"/>
            </w:pPr>
            <w:r>
              <w:rPr>
                <w:rFonts w:ascii="Arial" w:cs="Arial" w:eastAsia="Arial" w:hAnsi="Arial"/>
                <w:sz w:val="18"/>
                <w:szCs w:val="18"/>
              </w:rPr>
              <w:t xml:space="preserve">295,706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330,117</w:t>
            </w:r>
          </w:p>
        </w:tc>
        <w:tc>
          <w:tcPr>
            <w:tcMar>
              <w:top w:type="dxa" w:w="40"/>
              <w:left w:type="dxa" w:w="80"/>
              <w:bottom w:type="dxa" w:w="40"/>
              <w:right w:type="dxa" w:w="80"/>
            </w:tcMar>
          </w:tcPr>
          <w:p>
            <w:pPr>
              <w:jc w:val="right"/>
            </w:pPr>
            <w:r>
              <w:rPr>
                <w:rFonts w:ascii="Arial" w:cs="Arial" w:eastAsia="Arial" w:hAnsi="Arial"/>
                <w:sz w:val="18"/>
                <w:szCs w:val="18"/>
              </w:rPr>
              <w:t xml:space="preserve">310,294</w:t>
            </w:r>
          </w:p>
        </w:tc>
        <w:tc>
          <w:tcPr>
            <w:tcMar>
              <w:top w:type="dxa" w:w="40"/>
              <w:left w:type="dxa" w:w="80"/>
              <w:bottom w:type="dxa" w:w="40"/>
              <w:right w:type="dxa" w:w="80"/>
            </w:tcMar>
          </w:tcPr>
          <w:p>
            <w:pPr>
              <w:jc w:val="right"/>
            </w:pPr>
            <w:r>
              <w:rPr>
                <w:rFonts w:ascii="Arial" w:cs="Arial" w:eastAsia="Arial" w:hAnsi="Arial"/>
                <w:sz w:val="18"/>
                <w:szCs w:val="18"/>
              </w:rPr>
              <w:t xml:space="preserve">304,084</w:t>
            </w:r>
          </w:p>
        </w:tc>
      </w:tr>
    </w:tbl>
    <w:p>
      <w:pPr>
        <w:spacing w:after="40"/>
      </w:pPr>
      <w:r>
        <w:rPr>
          <w:rFonts w:ascii="Arial" w:cs="Arial" w:eastAsia="Arial" w:hAnsi="Arial"/>
          <w:sz w:val="20"/>
          <w:szCs w:val="20"/>
        </w:rPr>
        <w:t xml:space="preserve"/>
      </w:r>
    </w:p>
    <w:p>
      <w:pPr>
        <w:spacing w:after="120"/>
      </w:pPr>
      <w:r>
        <w:rPr>
          <w:rFonts w:ascii="Arial" w:cs="Arial" w:eastAsia="Arial" w:hAnsi="Arial"/>
          <w:b/>
          <w:bCs/>
          <w:sz w:val="20"/>
          <w:szCs w:val="20"/>
        </w:rPr>
        <w:t xml:space="preserve">Revenue Breakdown</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Source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Q1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2026</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2026</w:t>
            </w:r>
          </w:p>
        </w:tc>
      </w:tr>
      <w:tr>
        <w:tc>
          <w:tcPr>
            <w:tcMar>
              <w:top w:type="dxa" w:w="40"/>
              <w:left w:type="dxa" w:w="80"/>
              <w:bottom w:type="dxa" w:w="40"/>
              <w:right w:type="dxa" w:w="80"/>
            </w:tcMar>
          </w:tcPr>
          <w:p>
            <w:r>
              <w:rPr>
                <w:rFonts w:ascii="Arial" w:cs="Arial" w:eastAsia="Arial" w:hAnsi="Arial"/>
                <w:sz w:val="18"/>
                <w:szCs w:val="18"/>
              </w:rPr>
              <w:t xml:space="preserve">Revenue from contract with customers</w:t>
            </w:r>
          </w:p>
        </w:tc>
        <w:tc>
          <w:tcPr>
            <w:tcMar>
              <w:top w:type="dxa" w:w="40"/>
              <w:left w:type="dxa" w:w="80"/>
              <w:bottom w:type="dxa" w:w="40"/>
              <w:right w:type="dxa" w:w="80"/>
            </w:tcMar>
          </w:tcPr>
          <w:p>
            <w:pPr>
              <w:jc w:val="right"/>
            </w:pPr>
            <w:r>
              <w:rPr>
                <w:rFonts w:ascii="Arial" w:cs="Arial" w:eastAsia="Arial" w:hAnsi="Arial"/>
                <w:sz w:val="18"/>
                <w:szCs w:val="18"/>
              </w:rPr>
              <w:t xml:space="preserve">1,008,582</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376,340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1,140,855</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370,840</w:t>
            </w:r>
          </w:p>
        </w:tc>
        <w:tc>
          <w:tcPr>
            <w:tcMar>
              <w:top w:type="dxa" w:w="40"/>
              <w:left w:type="dxa" w:w="80"/>
              <w:bottom w:type="dxa" w:w="40"/>
              <w:right w:type="dxa" w:w="80"/>
            </w:tcMar>
          </w:tcPr>
          <w:p>
            <w:pPr>
              <w:jc w:val="right"/>
            </w:pPr>
            <w:r>
              <w:rPr>
                <w:rFonts w:ascii="Arial" w:cs="Arial" w:eastAsia="Arial" w:hAnsi="Arial"/>
                <w:sz w:val="18"/>
                <w:szCs w:val="18"/>
              </w:rPr>
              <w:t xml:space="preserve">781,573</w:t>
            </w:r>
          </w:p>
        </w:tc>
        <w:tc>
          <w:tcPr>
            <w:tcMar>
              <w:top w:type="dxa" w:w="40"/>
              <w:left w:type="dxa" w:w="80"/>
              <w:bottom w:type="dxa" w:w="40"/>
              <w:right w:type="dxa" w:w="80"/>
            </w:tcMar>
          </w:tcPr>
          <w:p>
            <w:pPr>
              <w:jc w:val="right"/>
            </w:pPr>
            <w:r>
              <w:rPr>
                <w:rFonts w:ascii="Arial" w:cs="Arial" w:eastAsia="Arial" w:hAnsi="Arial"/>
                <w:sz w:val="18"/>
                <w:szCs w:val="18"/>
              </w:rPr>
              <w:t xml:space="preserve">410,733</w:t>
            </w:r>
          </w:p>
        </w:tc>
        <w:tc>
          <w:tcPr>
            <w:tcMar>
              <w:top w:type="dxa" w:w="40"/>
              <w:left w:type="dxa" w:w="80"/>
              <w:bottom w:type="dxa" w:w="40"/>
              <w:right w:type="dxa" w:w="80"/>
            </w:tcMar>
          </w:tcPr>
          <w:p>
            <w:pPr>
              <w:jc w:val="right"/>
            </w:pPr>
            <w:r>
              <w:rPr>
                <w:rFonts w:ascii="Arial" w:cs="Arial" w:eastAsia="Arial" w:hAnsi="Arial"/>
                <w:sz w:val="18"/>
                <w:szCs w:val="18"/>
              </w:rPr>
              <w:t xml:space="preserve">1,231,196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408,501</w:t>
            </w:r>
          </w:p>
        </w:tc>
        <w:tc>
          <w:tcPr>
            <w:tcMar>
              <w:top w:type="dxa" w:w="40"/>
              <w:left w:type="dxa" w:w="80"/>
              <w:bottom w:type="dxa" w:w="40"/>
              <w:right w:type="dxa" w:w="80"/>
            </w:tcMar>
          </w:tcPr>
          <w:p>
            <w:pPr>
              <w:jc w:val="right"/>
            </w:pPr>
            <w:r>
              <w:rPr>
                <w:rFonts w:ascii="Arial" w:cs="Arial" w:eastAsia="Arial" w:hAnsi="Arial"/>
                <w:sz w:val="18"/>
                <w:szCs w:val="18"/>
              </w:rPr>
              <w:t xml:space="preserve">811,117</w:t>
            </w:r>
          </w:p>
        </w:tc>
      </w:tr>
      <w:tr>
        <w:tc>
          <w:tcPr>
            <w:tcMar>
              <w:top w:type="dxa" w:w="40"/>
              <w:left w:type="dxa" w:w="80"/>
              <w:bottom w:type="dxa" w:w="40"/>
              <w:right w:type="dxa" w:w="80"/>
            </w:tcMar>
          </w:tcPr>
          <w:p>
            <w:r>
              <w:rPr>
                <w:rFonts w:ascii="Arial" w:cs="Arial" w:eastAsia="Arial" w:hAnsi="Arial"/>
                <w:sz w:val="18"/>
                <w:szCs w:val="18"/>
              </w:rPr>
              <w:t xml:space="preserve">Real-estate Revenue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28,436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27,679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Real estate revenue</w:t>
            </w:r>
          </w:p>
        </w:tc>
        <w:tc>
          <w:tcPr>
            <w:tcMar>
              <w:top w:type="dxa" w:w="40"/>
              <w:left w:type="dxa" w:w="80"/>
              <w:bottom w:type="dxa" w:w="40"/>
              <w:right w:type="dxa" w:w="80"/>
            </w:tcMar>
          </w:tcPr>
          <w:p>
            <w:pPr>
              <w:jc w:val="right"/>
            </w:pPr>
            <w:r>
              <w:rPr>
                <w:rFonts w:ascii="Arial" w:cs="Arial" w:eastAsia="Arial" w:hAnsi="Arial"/>
                <w:sz w:val="18"/>
                <w:szCs w:val="18"/>
              </w:rPr>
              <w:t xml:space="preserve">85,431</w:t>
            </w:r>
          </w:p>
        </w:tc>
        <w:tc>
          <w:tcPr>
            <w:tcMar>
              <w:top w:type="dxa" w:w="40"/>
              <w:left w:type="dxa" w:w="80"/>
              <w:bottom w:type="dxa" w:w="40"/>
              <w:right w:type="dxa" w:w="80"/>
            </w:tcMar>
          </w:tcPr>
          <w:p>
            <w:pPr>
              <w:jc w:val="right"/>
            </w:pPr>
            <w:r>
              <w:rPr>
                <w:rFonts w:ascii="Arial" w:cs="Arial" w:eastAsia="Arial" w:hAnsi="Arial"/>
                <w:sz w:val="18"/>
                <w:szCs w:val="18"/>
              </w:rPr>
              <w:t xml:space="preserve">116,053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59,948</w:t>
            </w:r>
          </w:p>
        </w:tc>
        <w:tc>
          <w:tcPr>
            <w:tcMar>
              <w:top w:type="dxa" w:w="40"/>
              <w:left w:type="dxa" w:w="80"/>
              <w:bottom w:type="dxa" w:w="40"/>
              <w:right w:type="dxa" w:w="80"/>
            </w:tcMar>
          </w:tcPr>
          <w:p>
            <w:pPr>
              <w:jc w:val="right"/>
            </w:pPr>
            <w:r>
              <w:rPr>
                <w:rFonts w:ascii="Arial" w:cs="Arial" w:eastAsia="Arial" w:hAnsi="Arial"/>
                <w:sz w:val="18"/>
                <w:szCs w:val="18"/>
              </w:rPr>
              <w:t xml:space="preserve">88,959</w:t>
            </w:r>
          </w:p>
        </w:tc>
        <w:tc>
          <w:tcPr>
            <w:tcMar>
              <w:top w:type="dxa" w:w="40"/>
              <w:left w:type="dxa" w:w="80"/>
              <w:bottom w:type="dxa" w:w="40"/>
              <w:right w:type="dxa" w:w="80"/>
            </w:tcMar>
          </w:tcPr>
          <w:p>
            <w:pPr>
              <w:jc w:val="right"/>
            </w:pPr>
            <w:r>
              <w:rPr>
                <w:rFonts w:ascii="Arial" w:cs="Arial" w:eastAsia="Arial" w:hAnsi="Arial"/>
                <w:sz w:val="18"/>
                <w:szCs w:val="18"/>
              </w:rPr>
              <w:t xml:space="preserve">114,866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56,586</w:t>
            </w:r>
          </w:p>
        </w:tc>
        <w:tc>
          <w:tcPr>
            <w:tcMar>
              <w:top w:type="dxa" w:w="40"/>
              <w:left w:type="dxa" w:w="80"/>
              <w:bottom w:type="dxa" w:w="40"/>
              <w:right w:type="dxa" w:w="80"/>
            </w:tcMar>
          </w:tcPr>
          <w:p>
            <w:pPr>
              <w:jc w:val="right"/>
            </w:pPr>
            <w:r>
              <w:rPr>
                <w:rFonts w:ascii="Arial" w:cs="Arial" w:eastAsia="Arial" w:hAnsi="Arial"/>
                <w:sz w:val="18"/>
                <w:szCs w:val="18"/>
              </w:rPr>
              <w:t xml:space="preserve">28,249</w:t>
            </w:r>
          </w:p>
        </w:tc>
        <w:tc>
          <w:tcPr>
            <w:tcMar>
              <w:top w:type="dxa" w:w="40"/>
              <w:left w:type="dxa" w:w="80"/>
              <w:bottom w:type="dxa" w:w="40"/>
              <w:right w:type="dxa" w:w="80"/>
            </w:tcMar>
          </w:tcPr>
          <w:p>
            <w:pPr>
              <w:jc w:val="right"/>
            </w:pPr>
            <w:r>
              <w:rPr>
                <w:rFonts w:ascii="Arial" w:cs="Arial" w:eastAsia="Arial" w:hAnsi="Arial"/>
                <w:sz w:val="18"/>
                <w:szCs w:val="18"/>
              </w:rPr>
              <w:t xml:space="preserve">85,484</w:t>
            </w:r>
          </w:p>
        </w:tc>
        <w:tc>
          <w:tcPr>
            <w:tcMar>
              <w:top w:type="dxa" w:w="40"/>
              <w:left w:type="dxa" w:w="80"/>
              <w:bottom w:type="dxa" w:w="40"/>
              <w:right w:type="dxa" w:w="80"/>
            </w:tcMar>
          </w:tcPr>
          <w:p>
            <w:pPr>
              <w:jc w:val="right"/>
            </w:pPr>
            <w:r>
              <w:rPr>
                <w:rFonts w:ascii="Arial" w:cs="Arial" w:eastAsia="Arial" w:hAnsi="Arial"/>
                <w:sz w:val="18"/>
                <w:szCs w:val="18"/>
              </w:rPr>
              <w:t xml:space="preserve">114,274</w:t>
            </w:r>
          </w:p>
        </w:tc>
        <w:tc>
          <w:tcPr>
            <w:tcMar>
              <w:top w:type="dxa" w:w="40"/>
              <w:left w:type="dxa" w:w="80"/>
              <w:bottom w:type="dxa" w:w="40"/>
              <w:right w:type="dxa" w:w="80"/>
            </w:tcMar>
          </w:tcPr>
          <w:p>
            <w:pPr>
              <w:jc w:val="right"/>
            </w:pPr>
            <w:r>
              <w:rPr>
                <w:rFonts w:ascii="Arial" w:cs="Arial" w:eastAsia="Arial" w:hAnsi="Arial"/>
                <w:sz w:val="18"/>
                <w:szCs w:val="18"/>
              </w:rPr>
              <w:t xml:space="preserve">27,955</w:t>
            </w:r>
          </w:p>
        </w:tc>
        <w:tc>
          <w:tcPr>
            <w:tcMar>
              <w:top w:type="dxa" w:w="40"/>
              <w:left w:type="dxa" w:w="80"/>
              <w:bottom w:type="dxa" w:w="40"/>
              <w:right w:type="dxa" w:w="80"/>
            </w:tcMar>
          </w:tcPr>
          <w:p>
            <w:pPr>
              <w:jc w:val="right"/>
            </w:pPr>
            <w:r>
              <w:rPr>
                <w:rFonts w:ascii="Arial" w:cs="Arial" w:eastAsia="Arial" w:hAnsi="Arial"/>
                <w:sz w:val="18"/>
                <w:szCs w:val="18"/>
              </w:rPr>
              <w:t xml:space="preserve">55,637</w:t>
            </w:r>
          </w:p>
        </w:tc>
      </w:tr>
      <w:tr>
        <w:tc>
          <w:tcPr>
            <w:tcMar>
              <w:top w:type="dxa" w:w="40"/>
              <w:left w:type="dxa" w:w="80"/>
              <w:bottom w:type="dxa" w:w="40"/>
              <w:right w:type="dxa" w:w="80"/>
            </w:tcMar>
          </w:tcPr>
          <w:p>
            <w:r>
              <w:rPr>
                <w:rFonts w:ascii="Arial" w:cs="Arial" w:eastAsia="Arial" w:hAnsi="Arial"/>
                <w:sz w:val="18"/>
                <w:szCs w:val="18"/>
              </w:rPr>
              <w:t xml:space="preserve">Contract revenue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552,528</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310,826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607,793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304,617</w:t>
            </w:r>
          </w:p>
        </w:tc>
        <w:tc>
          <w:tcPr>
            <w:tcMar>
              <w:top w:type="dxa" w:w="40"/>
              <w:left w:type="dxa" w:w="80"/>
              <w:bottom w:type="dxa" w:w="40"/>
              <w:right w:type="dxa" w:w="80"/>
            </w:tcMar>
          </w:tcPr>
          <w:p>
            <w:pPr>
              <w:jc w:val="right"/>
            </w:pPr>
            <w:r>
              <w:rPr>
                <w:rFonts w:ascii="Arial" w:cs="Arial" w:eastAsia="Arial" w:hAnsi="Arial"/>
                <w:sz w:val="18"/>
                <w:szCs w:val="18"/>
              </w:rPr>
              <w:t xml:space="preserve">135,401</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154,596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Revenue from sale of goods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762,668</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422,912</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848,694</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420,584</w:t>
            </w:r>
          </w:p>
        </w:tc>
        <w:tc>
          <w:tcPr>
            <w:tcMar>
              <w:top w:type="dxa" w:w="40"/>
              <w:left w:type="dxa" w:w="80"/>
              <w:bottom w:type="dxa" w:w="40"/>
              <w:right w:type="dxa" w:w="80"/>
            </w:tcMar>
          </w:tcPr>
          <w:p>
            <w:pPr>
              <w:jc w:val="right"/>
            </w:pPr>
            <w:r>
              <w:rPr>
                <w:rFonts w:ascii="Arial" w:cs="Arial" w:eastAsia="Arial" w:hAnsi="Arial"/>
                <w:sz w:val="18"/>
                <w:szCs w:val="18"/>
              </w:rPr>
              <w:t xml:space="preserve">207,410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221,615</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Service revenue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107,345</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58,331</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110,343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56,373</w:t>
            </w:r>
          </w:p>
        </w:tc>
        <w:tc>
          <w:tcPr>
            <w:tcMar>
              <w:top w:type="dxa" w:w="40"/>
              <w:left w:type="dxa" w:w="80"/>
              <w:bottom w:type="dxa" w:w="40"/>
              <w:right w:type="dxa" w:w="80"/>
            </w:tcMar>
          </w:tcPr>
          <w:p>
            <w:pPr>
              <w:jc w:val="right"/>
            </w:pPr>
            <w:r>
              <w:rPr>
                <w:rFonts w:ascii="Arial" w:cs="Arial" w:eastAsia="Arial" w:hAnsi="Arial"/>
                <w:sz w:val="18"/>
                <w:szCs w:val="18"/>
              </w:rPr>
              <w:t xml:space="preserve">28,029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26,406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Revenue from contracts with customers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1,422,541</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792,069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1,566,830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781,573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1,751,929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State of Qatar revenue from contracts with customers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664,266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669,400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United Arab Emirates revenue from contracts with customers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71,043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65,073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Other geographic revenue from contracts with customers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56,760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47,099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bl>
    <w:p>
      <w:pPr>
        <w:spacing w:after="4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Ratio</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Value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Assessment</w:t>
            </w:r>
          </w:p>
        </w:tc>
      </w:tr>
      <w:tr>
        <w:tc>
          <w:tcPr>
            <w:tcMar>
              <w:top w:type="dxa" w:w="40"/>
              <w:left w:type="dxa" w:w="80"/>
              <w:bottom w:type="dxa" w:w="40"/>
              <w:right w:type="dxa" w:w="80"/>
            </w:tcMar>
          </w:tcPr>
          <w:p>
            <w:r>
              <w:rPr>
                <w:rFonts w:ascii="Arial" w:cs="Arial" w:eastAsia="Arial" w:hAnsi="Arial"/>
                <w:sz w:val="18"/>
                <w:szCs w:val="18"/>
              </w:rPr>
              <w:t xml:space="preserve">Debt service coverage (DSCR) (FY2025)</w:t>
            </w:r>
          </w:p>
        </w:tc>
        <w:tc>
          <w:tcPr>
            <w:tcMar>
              <w:top w:type="dxa" w:w="40"/>
              <w:left w:type="dxa" w:w="80"/>
              <w:bottom w:type="dxa" w:w="40"/>
              <w:right w:type="dxa" w:w="80"/>
            </w:tcMar>
          </w:tcPr>
          <w:p>
            <w:pPr>
              <w:jc w:val="right"/>
            </w:pPr>
            <w:r>
              <w:rPr>
                <w:rFonts w:ascii="Arial" w:cs="Arial" w:eastAsia="Arial" w:hAnsi="Arial"/>
                <w:sz w:val="18"/>
                <w:szCs w:val="18"/>
              </w:rPr>
              <w:t xml:space="preserve">0.40x</w:t>
            </w:r>
          </w:p>
        </w:tc>
        <w:tc>
          <w:tcPr>
            <w:tcMar>
              <w:top w:type="dxa" w:w="40"/>
              <w:left w:type="dxa" w:w="80"/>
              <w:bottom w:type="dxa" w:w="40"/>
              <w:right w:type="dxa" w:w="80"/>
            </w:tcMar>
          </w:tcPr>
          <w:p>
            <w:r>
              <w:rPr>
                <w:rFonts w:ascii="Arial" w:cs="Arial" w:eastAsia="Arial" w:hAnsi="Arial"/>
                <w:sz w:val="18"/>
                <w:szCs w:val="18"/>
              </w:rPr>
              <w:t xml:space="preserve">WEAK</w:t>
            </w:r>
          </w:p>
        </w:tc>
      </w:tr>
      <w:tr>
        <w:tc>
          <w:tcPr>
            <w:tcMar>
              <w:top w:type="dxa" w:w="40"/>
              <w:left w:type="dxa" w:w="80"/>
              <w:bottom w:type="dxa" w:w="40"/>
              <w:right w:type="dxa" w:w="80"/>
            </w:tcMar>
          </w:tcPr>
          <w:p>
            <w:r>
              <w:rPr>
                <w:rFonts w:ascii="Arial" w:cs="Arial" w:eastAsia="Arial" w:hAnsi="Arial"/>
                <w:sz w:val="18"/>
                <w:szCs w:val="18"/>
              </w:rPr>
              <w:t xml:space="preserve">Interest coverage (EBITDA / interest) (FY2025)</w:t>
            </w:r>
          </w:p>
        </w:tc>
        <w:tc>
          <w:tcPr>
            <w:tcMar>
              <w:top w:type="dxa" w:w="40"/>
              <w:left w:type="dxa" w:w="80"/>
              <w:bottom w:type="dxa" w:w="40"/>
              <w:right w:type="dxa" w:w="80"/>
            </w:tcMar>
          </w:tcPr>
          <w:p>
            <w:pPr>
              <w:jc w:val="right"/>
            </w:pPr>
            <w:r>
              <w:rPr>
                <w:rFonts w:ascii="Arial" w:cs="Arial" w:eastAsia="Arial" w:hAnsi="Arial"/>
                <w:sz w:val="18"/>
                <w:szCs w:val="18"/>
              </w:rPr>
              <w:t xml:space="preserve">2.37x</w:t>
            </w:r>
          </w:p>
        </w:tc>
        <w:tc>
          <w:tcPr>
            <w:tcMar>
              <w:top w:type="dxa" w:w="40"/>
              <w:left w:type="dxa" w:w="80"/>
              <w:bottom w:type="dxa" w:w="40"/>
              <w:right w:type="dxa" w:w="80"/>
            </w:tcMar>
          </w:tcPr>
          <w:p>
            <w:r>
              <w:rPr>
                <w:rFonts w:ascii="Arial" w:cs="Arial" w:eastAsia="Arial" w:hAnsi="Arial"/>
                <w:sz w:val="18"/>
                <w:szCs w:val="18"/>
              </w:rPr>
              <w:t xml:space="preserve">ACCEPTABLE</w:t>
            </w:r>
          </w:p>
        </w:tc>
      </w:tr>
      <w:tr>
        <w:tc>
          <w:tcPr>
            <w:tcMar>
              <w:top w:type="dxa" w:w="40"/>
              <w:left w:type="dxa" w:w="80"/>
              <w:bottom w:type="dxa" w:w="40"/>
              <w:right w:type="dxa" w:w="80"/>
            </w:tcMar>
          </w:tcPr>
          <w:p>
            <w:r>
              <w:rPr>
                <w:rFonts w:ascii="Arial" w:cs="Arial" w:eastAsia="Arial" w:hAnsi="Arial"/>
                <w:sz w:val="18"/>
                <w:szCs w:val="18"/>
              </w:rPr>
              <w:t xml:space="preserve">Leverage (total liabilities / tangible net worth) (FY2025)</w:t>
            </w:r>
          </w:p>
        </w:tc>
        <w:tc>
          <w:tcPr>
            <w:tcMar>
              <w:top w:type="dxa" w:w="40"/>
              <w:left w:type="dxa" w:w="80"/>
              <w:bottom w:type="dxa" w:w="40"/>
              <w:right w:type="dxa" w:w="80"/>
            </w:tcMar>
          </w:tcPr>
          <w:p>
            <w:pPr>
              <w:jc w:val="right"/>
            </w:pPr>
            <w:r>
              <w:rPr>
                <w:rFonts w:ascii="Arial" w:cs="Arial" w:eastAsia="Arial" w:hAnsi="Arial"/>
                <w:sz w:val="18"/>
                <w:szCs w:val="18"/>
              </w:rPr>
              <w:t xml:space="preserve">1.70x</w:t>
            </w:r>
          </w:p>
        </w:tc>
        <w:tc>
          <w:tcPr>
            <w:tcMar>
              <w:top w:type="dxa" w:w="40"/>
              <w:left w:type="dxa" w:w="80"/>
              <w:bottom w:type="dxa" w:w="40"/>
              <w:right w:type="dxa" w:w="80"/>
            </w:tcMar>
          </w:tcPr>
          <w:p>
            <w:r>
              <w:rPr>
                <w:rFonts w:ascii="Arial" w:cs="Arial" w:eastAsia="Arial" w:hAnsi="Arial"/>
                <w:sz w:val="18"/>
                <w:szCs w:val="18"/>
              </w:rPr>
              <w:t xml:space="preserve">ACCEPTABLE</w:t>
            </w:r>
          </w:p>
        </w:tc>
      </w:tr>
      <w:tr>
        <w:tc>
          <w:tcPr>
            <w:tcMar>
              <w:top w:type="dxa" w:w="40"/>
              <w:left w:type="dxa" w:w="80"/>
              <w:bottom w:type="dxa" w:w="40"/>
              <w:right w:type="dxa" w:w="80"/>
            </w:tcMar>
          </w:tcPr>
          <w:p>
            <w:r>
              <w:rPr>
                <w:rFonts w:ascii="Arial" w:cs="Arial" w:eastAsia="Arial" w:hAnsi="Arial"/>
                <w:sz w:val="18"/>
                <w:szCs w:val="18"/>
              </w:rPr>
              <w:t xml:space="preserve">Current ratio (FY2025)</w:t>
            </w:r>
          </w:p>
        </w:tc>
        <w:tc>
          <w:tcPr>
            <w:tcMar>
              <w:top w:type="dxa" w:w="40"/>
              <w:left w:type="dxa" w:w="80"/>
              <w:bottom w:type="dxa" w:w="40"/>
              <w:right w:type="dxa" w:w="80"/>
            </w:tcMar>
          </w:tcPr>
          <w:p>
            <w:pPr>
              <w:jc w:val="right"/>
            </w:pPr>
            <w:r>
              <w:rPr>
                <w:rFonts w:ascii="Arial" w:cs="Arial" w:eastAsia="Arial" w:hAnsi="Arial"/>
                <w:sz w:val="18"/>
                <w:szCs w:val="18"/>
              </w:rPr>
              <w:t xml:space="preserve">1.60x</w:t>
            </w:r>
          </w:p>
        </w:tc>
        <w:tc>
          <w:tcPr>
            <w:tcMar>
              <w:top w:type="dxa" w:w="40"/>
              <w:left w:type="dxa" w:w="80"/>
              <w:bottom w:type="dxa" w:w="40"/>
              <w:right w:type="dxa" w:w="80"/>
            </w:tcMar>
          </w:tcPr>
          <w:p>
            <w:r>
              <w:rPr>
                <w:rFonts w:ascii="Arial" w:cs="Arial" w:eastAsia="Arial" w:hAnsi="Arial"/>
                <w:sz w:val="18"/>
                <w:szCs w:val="18"/>
              </w:rPr>
              <w:t xml:space="preserve">GOOD</w:t>
            </w:r>
          </w:p>
        </w:tc>
      </w:tr>
      <w:tr>
        <w:tc>
          <w:tcPr>
            <w:tcMar>
              <w:top w:type="dxa" w:w="40"/>
              <w:left w:type="dxa" w:w="80"/>
              <w:bottom w:type="dxa" w:w="40"/>
              <w:right w:type="dxa" w:w="80"/>
            </w:tcMar>
          </w:tcPr>
          <w:p>
            <w:r>
              <w:rPr>
                <w:rFonts w:ascii="Arial" w:cs="Arial" w:eastAsia="Arial" w:hAnsi="Arial"/>
                <w:sz w:val="18"/>
                <w:szCs w:val="18"/>
              </w:rPr>
              <w:t xml:space="preserve">Revenue trend (latest year) (FY2025)</w:t>
            </w:r>
          </w:p>
        </w:tc>
        <w:tc>
          <w:tcPr>
            <w:tcMar>
              <w:top w:type="dxa" w:w="40"/>
              <w:left w:type="dxa" w:w="80"/>
              <w:bottom w:type="dxa" w:w="40"/>
              <w:right w:type="dxa" w:w="80"/>
            </w:tcMar>
          </w:tcPr>
          <w:p>
            <w:pPr>
              <w:jc w:val="right"/>
            </w:pPr>
            <w:r>
              <w:rPr>
                <w:rFonts w:ascii="Arial" w:cs="Arial" w:eastAsia="Arial" w:hAnsi="Arial"/>
                <w:sz w:val="18"/>
                <w:szCs w:val="18"/>
              </w:rPr>
              <w:t xml:space="preserve">10.8%</w:t>
            </w:r>
          </w:p>
        </w:tc>
        <w:tc>
          <w:tcPr>
            <w:tcMar>
              <w:top w:type="dxa" w:w="40"/>
              <w:left w:type="dxa" w:w="80"/>
              <w:bottom w:type="dxa" w:w="40"/>
              <w:right w:type="dxa" w:w="80"/>
            </w:tcMar>
          </w:tcPr>
          <w:p>
            <w:r>
              <w:rPr>
                <w:rFonts w:ascii="Arial" w:cs="Arial" w:eastAsia="Arial" w:hAnsi="Arial"/>
                <w:sz w:val="18"/>
                <w:szCs w:val="18"/>
              </w:rPr>
              <w:t xml:space="preserve">GOOD</w:t>
            </w:r>
          </w:p>
        </w:tc>
      </w:tr>
      <w:tr>
        <w:tc>
          <w:tcPr>
            <w:tcMar>
              <w:top w:type="dxa" w:w="40"/>
              <w:left w:type="dxa" w:w="80"/>
              <w:bottom w:type="dxa" w:w="40"/>
              <w:right w:type="dxa" w:w="80"/>
            </w:tcMar>
          </w:tcPr>
          <w:p>
            <w:r>
              <w:rPr>
                <w:rFonts w:ascii="Arial" w:cs="Arial" w:eastAsia="Arial" w:hAnsi="Arial"/>
                <w:sz w:val="18"/>
                <w:szCs w:val="18"/>
              </w:rPr>
              <w:t xml:space="preserve">Profitability (net margin) (FY2025)</w:t>
            </w:r>
          </w:p>
        </w:tc>
        <w:tc>
          <w:tcPr>
            <w:tcMar>
              <w:top w:type="dxa" w:w="40"/>
              <w:left w:type="dxa" w:w="80"/>
              <w:bottom w:type="dxa" w:w="40"/>
              <w:right w:type="dxa" w:w="80"/>
            </w:tcMar>
          </w:tcPr>
          <w:p>
            <w:pPr>
              <w:jc w:val="right"/>
            </w:pPr>
            <w:r>
              <w:rPr>
                <w:rFonts w:ascii="Arial" w:cs="Arial" w:eastAsia="Arial" w:hAnsi="Arial"/>
                <w:sz w:val="18"/>
                <w:szCs w:val="18"/>
              </w:rPr>
              <w:t xml:space="preserve">5.5%</w:t>
            </w:r>
          </w:p>
        </w:tc>
        <w:tc>
          <w:tcPr>
            <w:tcMar>
              <w:top w:type="dxa" w:w="40"/>
              <w:left w:type="dxa" w:w="80"/>
              <w:bottom w:type="dxa" w:w="40"/>
              <w:right w:type="dxa" w:w="80"/>
            </w:tcMar>
          </w:tcPr>
          <w:p>
            <w:r>
              <w:rPr>
                <w:rFonts w:ascii="Arial" w:cs="Arial" w:eastAsia="Arial" w:hAnsi="Arial"/>
                <w:sz w:val="18"/>
                <w:szCs w:val="18"/>
              </w:rPr>
              <w:t xml:space="preserve">GOOD</w:t>
            </w:r>
          </w:p>
        </w:tc>
      </w:tr>
      <w:tr>
        <w:tc>
          <w:tcPr>
            <w:tcMar>
              <w:top w:type="dxa" w:w="40"/>
              <w:left w:type="dxa" w:w="80"/>
              <w:bottom w:type="dxa" w:w="40"/>
              <w:right w:type="dxa" w:w="80"/>
            </w:tcMar>
          </w:tcPr>
          <w:p>
            <w:r>
              <w:rPr>
                <w:rFonts w:ascii="Arial" w:cs="Arial" w:eastAsia="Arial" w:hAnsi="Arial"/>
                <w:sz w:val="18"/>
                <w:szCs w:val="18"/>
              </w:rPr>
              <w:t xml:space="preserve">LTV on pledged securities / fund units (term sheet)</w:t>
            </w:r>
          </w:p>
        </w:tc>
        <w:tc>
          <w:tcPr>
            <w:tcMar>
              <w:top w:type="dxa" w:w="40"/>
              <w:left w:type="dxa" w:w="80"/>
              <w:bottom w:type="dxa" w:w="40"/>
              <w:right w:type="dxa" w:w="80"/>
            </w:tcMar>
          </w:tcPr>
          <w:p>
            <w:pPr>
              <w:jc w:val="right"/>
            </w:pPr>
            <w:r>
              <w:rPr>
                <w:rFonts w:ascii="Arial" w:cs="Arial" w:eastAsia="Arial" w:hAnsi="Arial"/>
                <w:sz w:val="18"/>
                <w:szCs w:val="18"/>
              </w:rPr>
              <w:t xml:space="preserve">70%</w:t>
            </w:r>
          </w:p>
        </w:tc>
        <w:tc>
          <w:tcPr>
            <w:tcMar>
              <w:top w:type="dxa" w:w="40"/>
              <w:left w:type="dxa" w:w="80"/>
              <w:bottom w:type="dxa" w:w="40"/>
              <w:right w:type="dxa" w:w="80"/>
            </w:tcMar>
          </w:tcPr>
          <w:p>
            <w:r>
              <w:rPr>
                <w:rFonts w:ascii="Arial" w:cs="Arial" w:eastAsia="Arial" w:hAnsi="Arial"/>
                <w:sz w:val="18"/>
                <w:szCs w:val="18"/>
              </w:rPr>
              <w:t xml:space="preserve">ACCEPTABLE</w:t>
            </w:r>
          </w:p>
        </w:tc>
      </w:tr>
      <w:tr>
        <w:tc>
          <w:tcPr>
            <w:tcMar>
              <w:top w:type="dxa" w:w="40"/>
              <w:left w:type="dxa" w:w="80"/>
              <w:bottom w:type="dxa" w:w="40"/>
              <w:right w:type="dxa" w:w="80"/>
            </w:tcMar>
          </w:tcPr>
          <w:p>
            <w:r>
              <w:rPr>
                <w:rFonts w:ascii="Arial" w:cs="Arial" w:eastAsia="Arial" w:hAnsi="Arial"/>
                <w:sz w:val="18"/>
                <w:szCs w:val="18"/>
              </w:rPr>
              <w:t xml:space="preserve">Security coverage (collateral / exposure) (term sheet)</w:t>
            </w:r>
          </w:p>
        </w:tc>
        <w:tc>
          <w:tcPr>
            <w:tcMar>
              <w:top w:type="dxa" w:w="40"/>
              <w:left w:type="dxa" w:w="80"/>
              <w:bottom w:type="dxa" w:w="40"/>
              <w:right w:type="dxa" w:w="80"/>
            </w:tcMar>
          </w:tcPr>
          <w:p>
            <w:pPr>
              <w:jc w:val="right"/>
            </w:pPr>
            <w:r>
              <w:rPr>
                <w:rFonts w:ascii="Arial" w:cs="Arial" w:eastAsia="Arial" w:hAnsi="Arial"/>
                <w:sz w:val="18"/>
                <w:szCs w:val="18"/>
              </w:rPr>
              <w:t xml:space="preserve">143%</w:t>
            </w:r>
          </w:p>
        </w:tc>
        <w:tc>
          <w:tcPr>
            <w:tcMar>
              <w:top w:type="dxa" w:w="40"/>
              <w:left w:type="dxa" w:w="80"/>
              <w:bottom w:type="dxa" w:w="40"/>
              <w:right w:type="dxa" w:w="80"/>
            </w:tcMar>
          </w:tcPr>
          <w:p>
            <w:r>
              <w:rPr>
                <w:rFonts w:ascii="Arial" w:cs="Arial" w:eastAsia="Arial" w:hAnsi="Arial"/>
                <w:sz w:val="18"/>
                <w:szCs w:val="18"/>
              </w:rPr>
              <w:t xml:space="preserve">WEAK</w:t>
            </w:r>
          </w:p>
        </w:tc>
      </w:tr>
    </w:tbl>
    <w:p>
      <w:pPr>
        <w:spacing w:after="80"/>
      </w:pPr>
      <w:r>
        <w:rPr>
          <w:rFonts w:ascii="Arial" w:cs="Arial" w:eastAsia="Arial" w:hAnsi="Arial"/>
          <w:sz w:val="20"/>
          <w:szCs w:val="20"/>
        </w:rPr>
        <w:t xml:space="preserve"/>
      </w:r>
    </w:p>
    <w:p>
      <w:pPr>
        <w:pStyle w:val="Heading1"/>
        <w:spacing w:after="120" w:before="240"/>
      </w:pPr>
      <w:r>
        <w:rPr>
          <w:rFonts w:ascii="Arial" w:cs="Arial" w:eastAsia="Arial" w:hAnsi="Arial"/>
          <w:b/>
          <w:bCs/>
          <w:color w:val="1F3864"/>
          <w:sz w:val="26"/>
          <w:szCs w:val="26"/>
        </w:rPr>
        <w:t xml:space="preserve">VI. Account Conduct &amp; Profitability</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No account conduct analysis is available because the proposed facility is for a new account to be opened and no bank statements have been uploaded. (Source: application form)</w:t>
      </w:r>
    </w:p>
    <w:p>
      <w:pPr>
        <w:spacing w:after="120"/>
        <w:jc w:val="both"/>
      </w:pPr>
      <w:r>
        <w:rPr>
          <w:rFonts w:ascii="Arial" w:cs="Arial" w:eastAsia="Arial" w:hAnsi="Arial"/>
          <w:sz w:val="20"/>
          <w:szCs w:val="20"/>
        </w:rPr>
        <w:t xml:space="preserve">Accordingly, the following matters remain unassessed:</w:t>
      </w:r>
    </w:p>
    <w:p>
      <w:pPr>
        <w:pStyle w:val="ListParagraph"/>
        <w:numPr>
          <w:ilvl w:val="0"/>
          <w:numId w:val="1"/>
        </w:numPr>
        <w:spacing w:after="60"/>
      </w:pPr>
      <w:r>
        <w:rPr>
          <w:rFonts w:ascii="Arial" w:cs="Arial" w:eastAsia="Arial" w:hAnsi="Arial"/>
          <w:sz w:val="20"/>
          <w:szCs w:val="20"/>
        </w:rPr>
        <w:t xml:space="preserve">Account turnover, routing of operating receipts and payment behaviour.</w:t>
      </w:r>
    </w:p>
    <w:p>
      <w:pPr>
        <w:pStyle w:val="ListParagraph"/>
        <w:numPr>
          <w:ilvl w:val="0"/>
          <w:numId w:val="1"/>
        </w:numPr>
        <w:spacing w:after="60"/>
      </w:pPr>
      <w:r>
        <w:rPr>
          <w:rFonts w:ascii="Arial" w:cs="Arial" w:eastAsia="Arial" w:hAnsi="Arial"/>
          <w:sz w:val="20"/>
          <w:szCs w:val="20"/>
        </w:rPr>
        <w:t xml:space="preserve">Frequency and duration of excesses, returned items, unpaid obligations and unauthorised overdrafts.</w:t>
      </w:r>
    </w:p>
    <w:p>
      <w:pPr>
        <w:pStyle w:val="ListParagraph"/>
        <w:numPr>
          <w:ilvl w:val="0"/>
          <w:numId w:val="1"/>
        </w:numPr>
        <w:spacing w:after="60"/>
      </w:pPr>
      <w:r>
        <w:rPr>
          <w:rFonts w:ascii="Arial" w:cs="Arial" w:eastAsia="Arial" w:hAnsi="Arial"/>
          <w:sz w:val="20"/>
          <w:szCs w:val="20"/>
        </w:rPr>
        <w:t xml:space="preserve">Existing banking relationships, utilisation of facilities and repayment conduct.</w:t>
      </w:r>
    </w:p>
    <w:p>
      <w:pPr>
        <w:pStyle w:val="ListParagraph"/>
        <w:numPr>
          <w:ilvl w:val="0"/>
          <w:numId w:val="1"/>
        </w:numPr>
        <w:spacing w:after="60"/>
      </w:pPr>
      <w:r>
        <w:rPr>
          <w:rFonts w:ascii="Arial" w:cs="Arial" w:eastAsia="Arial" w:hAnsi="Arial"/>
          <w:sz w:val="20"/>
          <w:szCs w:val="20"/>
        </w:rPr>
        <w:t xml:space="preserve">Evidence of cash flows available to service the proposed Demand Loan.</w:t>
      </w:r>
    </w:p>
    <w:p>
      <w:pPr>
        <w:spacing w:after="120"/>
        <w:jc w:val="both"/>
      </w:pPr>
      <w:r>
        <w:rPr>
          <w:rFonts w:ascii="Arial" w:cs="Arial" w:eastAsia="Arial" w:hAnsi="Arial"/>
          <w:sz w:val="20"/>
          <w:szCs w:val="20"/>
        </w:rPr>
        <w:t xml:space="preserve">The borrower reported FY2025 revenue of QAR 1,866,204 thousand and net profit of QAR 102,343 thousand. However, operating cash flow of QAR 194,653 thousand covered reported FY2025 debt service of approximately QAR 676,999 thousand by approximately 0.29x, indicating that profitability does not, by itself, demonstrate sufficient debt-servicing capacity. (Source: SIIL FS March English 2025.pdf, p.4;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p.35)</w:t>
      </w:r>
    </w:p>
    <w:p>
      <w:pPr>
        <w:spacing w:after="120"/>
        <w:jc w:val="both"/>
      </w:pPr>
      <w:r>
        <w:rPr>
          <w:rFonts w:ascii="Arial" w:cs="Arial" w:eastAsia="Arial" w:hAnsi="Arial"/>
          <w:sz w:val="20"/>
          <w:szCs w:val="20"/>
        </w:rPr>
        <w:t xml:space="preserve">[Analyst to confirm: obtain recent bank statements, conduct commentary, existing lender details and evidence of repayment performance before final committee consideration.]</w:t>
      </w:r>
    </w:p>
    <w:p>
      <w:pPr>
        <w:pStyle w:val="Heading1"/>
        <w:spacing w:after="120" w:before="240"/>
      </w:pPr>
      <w:r>
        <w:rPr>
          <w:rFonts w:ascii="Arial" w:cs="Arial" w:eastAsia="Arial" w:hAnsi="Arial"/>
          <w:b/>
          <w:bCs/>
          <w:color w:val="1F3864"/>
          <w:sz w:val="26"/>
          <w:szCs w:val="26"/>
        </w:rPr>
        <w:t xml:space="preserve">VII. QCB and Credit Bureau Reports</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No QCB report or credit bureau report has been provided in the document pack. Accordingly, no independent confirmation is available regarding the borrower’s or guarantor’s reported facilities, arrears, returned cheques, legal actions, outstanding obligations or credit history.</w:t>
      </w:r>
    </w:p>
    <w:p>
      <w:pPr>
        <w:spacing w:after="120"/>
        <w:jc w:val="both"/>
      </w:pPr>
      <w:r>
        <w:rPr>
          <w:rFonts w:ascii="Arial" w:cs="Arial" w:eastAsia="Arial" w:hAnsi="Arial"/>
          <w:sz w:val="20"/>
          <w:szCs w:val="20"/>
        </w:rPr>
        <w:t xml:space="preserve">The financial statements indicate material existing indebtedness. Total debt was QAR 2,269,365 thousand at FY2025 and QAR 2,188,434 thousand at 30 June 2026. The FY2025 accounts also report gross exposures of QAR 480,191 thousand that were more than 730 days past due and classified as credit impaired, with a loss allowance of QAR 204,365 thousand. (Source: SIIL FS Q1-2026 English.pdf, p.4;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p.81)</w:t>
      </w:r>
    </w:p>
    <w:p>
      <w:pPr>
        <w:spacing w:after="120"/>
        <w:jc w:val="both"/>
      </w:pPr>
      <w:r>
        <w:rPr>
          <w:rFonts w:ascii="Arial" w:cs="Arial" w:eastAsia="Arial" w:hAnsi="Arial"/>
          <w:sz w:val="20"/>
          <w:szCs w:val="20"/>
        </w:rPr>
        <w:t xml:space="preserve">[Analyst to confirm: obtain and review current QCB and credit bureau reports for the borrower, guarantor(s), shareholders where relevant and any connected obligors. Any adverse findings, arrears, returned cheques, undisclosed borrowings or contingent obligations should be reconciled to the application and financial statements before the proposal is finalised.]</w:t>
      </w:r>
    </w:p>
    <w:p>
      <w:pPr>
        <w:pStyle w:val="Heading1"/>
        <w:spacing w:after="120" w:before="240"/>
      </w:pPr>
      <w:r>
        <w:rPr>
          <w:rFonts w:ascii="Arial" w:cs="Arial" w:eastAsia="Arial" w:hAnsi="Arial"/>
          <w:b/>
          <w:bCs/>
          <w:color w:val="1F3864"/>
          <w:sz w:val="26"/>
          <w:szCs w:val="26"/>
        </w:rPr>
        <w:t xml:space="preserve">VIII. Sources of Repayment</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b/>
          <w:bCs/>
          <w:sz w:val="20"/>
          <w:szCs w:val="20"/>
        </w:rPr>
        <w:t xml:space="preserve">Primary source</w:t>
      </w:r>
    </w:p>
    <w:p>
      <w:pPr>
        <w:pStyle w:val="ListParagraph"/>
        <w:numPr>
          <w:ilvl w:val="0"/>
          <w:numId w:val="1"/>
        </w:numPr>
        <w:spacing w:after="60"/>
      </w:pPr>
      <w:r>
        <w:rPr>
          <w:rFonts w:ascii="Arial" w:cs="Arial" w:eastAsia="Arial" w:hAnsi="Arial"/>
          <w:sz w:val="20"/>
          <w:szCs w:val="20"/>
        </w:rPr>
        <w:t xml:space="preserve">Repayment is expected to arise from the borrower’s operating cash flows and business receipts. FY2025 operating cash flow was QAR 194,653 thousand; however, reported debt service was approximately QAR 676,999 thousand, resulting in coverage of approximately 0.29x. This represents a material cash-flow mismatch and weakens reliance on operating cash flow as the sole repayment source.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p.35)</w:t>
      </w:r>
    </w:p>
    <w:p>
      <w:pPr>
        <w:pStyle w:val="ListParagraph"/>
        <w:numPr>
          <w:ilvl w:val="0"/>
          <w:numId w:val="1"/>
        </w:numPr>
        <w:spacing w:after="60"/>
      </w:pPr>
      <w:r>
        <w:rPr>
          <w:rFonts w:ascii="Arial" w:cs="Arial" w:eastAsia="Arial" w:hAnsi="Arial"/>
          <w:sz w:val="20"/>
          <w:szCs w:val="20"/>
        </w:rPr>
        <w:t xml:space="preserve">The proposed Demand Loan has a 25-year tenor and two-year availability period. [Analyst to confirm: detailed amortisation, repayment schedule, source of balloon repayment and whether repayment is expected from asset monetisation, refinancing or other identified proceeds.] (Source: application form)</w:t>
      </w:r>
    </w:p>
    <w:p>
      <w:pPr>
        <w:spacing w:after="120"/>
        <w:jc w:val="both"/>
      </w:pPr>
      <w:r>
        <w:rPr>
          <w:rFonts w:ascii="Arial" w:cs="Arial" w:eastAsia="Arial" w:hAnsi="Arial"/>
          <w:b/>
          <w:bCs/>
          <w:sz w:val="20"/>
          <w:szCs w:val="20"/>
        </w:rPr>
        <w:t xml:space="preserve">Secondary source</w:t>
      </w:r>
    </w:p>
    <w:p>
      <w:pPr>
        <w:pStyle w:val="ListParagraph"/>
        <w:numPr>
          <w:ilvl w:val="0"/>
          <w:numId w:val="1"/>
        </w:numPr>
        <w:spacing w:after="60"/>
      </w:pPr>
      <w:r>
        <w:rPr>
          <w:rFonts w:ascii="Arial" w:cs="Arial" w:eastAsia="Arial" w:hAnsi="Arial"/>
          <w:sz w:val="20"/>
          <w:szCs w:val="20"/>
        </w:rPr>
        <w:t xml:space="preserve">The term sheet refers to pledged securities/fund units, with an LTV cap of 70%, top-up trigger of 75% and liquidation trigger of 85%. The stated security coverage is 143%. (Source: application form)</w:t>
      </w:r>
    </w:p>
    <w:p>
      <w:pPr>
        <w:pStyle w:val="ListParagraph"/>
        <w:numPr>
          <w:ilvl w:val="0"/>
          <w:numId w:val="1"/>
        </w:numPr>
        <w:spacing w:after="60"/>
      </w:pPr>
      <w:r>
        <w:rPr>
          <w:rFonts w:ascii="Arial" w:cs="Arial" w:eastAsia="Arial" w:hAnsi="Arial"/>
          <w:sz w:val="20"/>
          <w:szCs w:val="20"/>
        </w:rPr>
        <w:t xml:space="preserve">No collateral documentation, valuation, custody confirmation, liquidity analysis or evidence of unencumbered ownership has been provided. [Analyst to confirm: collateral composition, enforceability, priority and availability for Ahlibank.] </w:t>
      </w:r>
    </w:p>
    <w:p>
      <w:pPr>
        <w:spacing w:after="120"/>
        <w:jc w:val="both"/>
      </w:pPr>
      <w:r>
        <w:rPr>
          <w:rFonts w:ascii="Arial" w:cs="Arial" w:eastAsia="Arial" w:hAnsi="Arial"/>
          <w:b/>
          <w:bCs/>
          <w:sz w:val="20"/>
          <w:szCs w:val="20"/>
        </w:rPr>
        <w:t xml:space="preserve">Pari passu</w:t>
      </w:r>
    </w:p>
    <w:p>
      <w:pPr>
        <w:pStyle w:val="ListParagraph"/>
        <w:numPr>
          <w:ilvl w:val="0"/>
          <w:numId w:val="1"/>
        </w:numPr>
        <w:spacing w:after="60"/>
      </w:pPr>
      <w:r>
        <w:rPr>
          <w:rFonts w:ascii="Arial" w:cs="Arial" w:eastAsia="Arial" w:hAnsi="Arial"/>
          <w:sz w:val="20"/>
          <w:szCs w:val="20"/>
        </w:rPr>
        <w:t xml:space="preserve">[Analyst to confirm: whether the proposed facility will rank pari passu with existing secured or unsecured creditors and whether any negative pledge, intercreditor or subordination arrangements apply.]</w:t>
      </w:r>
    </w:p>
    <w:p>
      <w:pPr>
        <w:pStyle w:val="Heading1"/>
        <w:spacing w:after="120" w:before="240"/>
      </w:pPr>
      <w:r>
        <w:rPr>
          <w:rFonts w:ascii="Arial" w:cs="Arial" w:eastAsia="Arial" w:hAnsi="Arial"/>
          <w:b/>
          <w:bCs/>
          <w:color w:val="1F3864"/>
          <w:sz w:val="26"/>
          <w:szCs w:val="26"/>
        </w:rPr>
        <w:t xml:space="preserve">IX. Risk Rating</w:t>
      </w:r>
    </w:p>
    <w:p>
      <w:pPr>
        <w:spacing w:after="120"/>
      </w:pPr>
      <w:r>
        <w:rPr>
          <w:rFonts w:ascii="Arial" w:cs="Arial" w:eastAsia="Arial" w:hAnsi="Arial"/>
          <w:b/>
          <w:bCs/>
          <w:sz w:val="20"/>
          <w:szCs w:val="20"/>
        </w:rPr>
        <w:t xml:space="preserve">Proposed rating: R06</w:t>
      </w:r>
    </w:p>
    <w:p>
      <w:pPr>
        <w:spacing w:after="120"/>
        <w:jc w:val="both"/>
      </w:pPr>
      <w:r>
        <w:rPr>
          <w:rFonts w:ascii="Arial" w:cs="Arial" w:eastAsia="Arial" w:hAnsi="Arial"/>
          <w:sz w:val="20"/>
          <w:szCs w:val="20"/>
        </w:rPr>
        <w:t xml:space="preserve">becasue salam is a very stable company</w:t>
      </w:r>
    </w:p>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b/>
          <w:bCs/>
          <w:sz w:val="20"/>
          <w:szCs w:val="20"/>
        </w:rPr>
        <w:t xml:space="preserve">Proposed risk rating:</w:t>
      </w:r>
      <w:r>
        <w:rPr>
          <w:rFonts w:ascii="Arial" w:cs="Arial" w:eastAsia="Arial" w:hAnsi="Arial"/>
          <w:sz w:val="20"/>
          <w:szCs w:val="20"/>
        </w:rPr>
        <w:t xml:space="preserve"> [Analyst to confirm: proposed rating; the application form leaves the proposed and final ratings blank.] (Source: application form)</w:t>
      </w:r>
    </w:p>
    <w:p>
      <w:pPr>
        <w:pStyle w:val="ListParagraph"/>
        <w:numPr>
          <w:ilvl w:val="0"/>
          <w:numId w:val="1"/>
        </w:numPr>
        <w:spacing w:after="60"/>
      </w:pPr>
      <w:r>
        <w:rPr>
          <w:rFonts w:ascii="Arial" w:cs="Arial" w:eastAsia="Arial" w:hAnsi="Arial"/>
          <w:sz w:val="20"/>
          <w:szCs w:val="20"/>
        </w:rPr>
        <w:t xml:space="preserve">Revenue growth and profitability are positive: FY2025 revenue increased by 10.8% and net margin was 5.5%. (Source: application form)</w:t>
      </w:r>
    </w:p>
    <w:p>
      <w:pPr>
        <w:pStyle w:val="ListParagraph"/>
        <w:numPr>
          <w:ilvl w:val="0"/>
          <w:numId w:val="1"/>
        </w:numPr>
        <w:spacing w:after="60"/>
      </w:pPr>
      <w:r>
        <w:rPr>
          <w:rFonts w:ascii="Arial" w:cs="Arial" w:eastAsia="Arial" w:hAnsi="Arial"/>
          <w:sz w:val="20"/>
          <w:szCs w:val="20"/>
        </w:rPr>
        <w:t xml:space="preserve">Liquidity was assessed as satisfactory on the submitted ratio schedule, with a FY2025 current ratio of 1.60x. (Source: application form)</w:t>
      </w:r>
    </w:p>
    <w:p>
      <w:pPr>
        <w:pStyle w:val="ListParagraph"/>
        <w:numPr>
          <w:ilvl w:val="0"/>
          <w:numId w:val="1"/>
        </w:numPr>
        <w:spacing w:after="60"/>
      </w:pPr>
      <w:r>
        <w:rPr>
          <w:rFonts w:ascii="Arial" w:cs="Arial" w:eastAsia="Arial" w:hAnsi="Arial"/>
          <w:sz w:val="20"/>
          <w:szCs w:val="20"/>
        </w:rPr>
        <w:t xml:space="preserve">Leverage remains material: FY2025 leverage was 1.70x and total debt was QAR 2,269,365 thousand against equity of QAR 1,776,035 thousand. (Source: application form;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p.35)</w:t>
      </w:r>
    </w:p>
    <w:p>
      <w:pPr>
        <w:pStyle w:val="ListParagraph"/>
        <w:numPr>
          <w:ilvl w:val="0"/>
          <w:numId w:val="1"/>
        </w:numPr>
        <w:spacing w:after="60"/>
      </w:pPr>
      <w:r>
        <w:rPr>
          <w:rFonts w:ascii="Arial" w:cs="Arial" w:eastAsia="Arial" w:hAnsi="Arial"/>
          <w:sz w:val="20"/>
          <w:szCs w:val="20"/>
        </w:rPr>
        <w:t xml:space="preserve">Debt-servicing capacity is weak: the submitted FY2025 DSCR is 0.40x, while reported operating cash flow covered debt service by approximately 0.29x. (Source: application form;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p.35)</w:t>
      </w:r>
    </w:p>
    <w:p>
      <w:pPr>
        <w:pStyle w:val="ListParagraph"/>
        <w:numPr>
          <w:ilvl w:val="0"/>
          <w:numId w:val="1"/>
        </w:numPr>
        <w:spacing w:after="60"/>
      </w:pPr>
      <w:r>
        <w:rPr>
          <w:rFonts w:ascii="Arial" w:cs="Arial" w:eastAsia="Arial" w:hAnsi="Arial"/>
          <w:sz w:val="20"/>
          <w:szCs w:val="20"/>
        </w:rPr>
        <w:t xml:space="preserve">Credit quality is further constrained by material credit-impaired receivables, related-party balances, pledged investment properties and reliance on interim reviewed information for the latest period.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pp.60, 81; Source: SIIL -HY 2026-English Signed.pdf, pp.1, 16, 19)</w:t>
      </w:r>
    </w:p>
    <w:p>
      <w:pPr>
        <w:pStyle w:val="ListParagraph"/>
        <w:numPr>
          <w:ilvl w:val="0"/>
          <w:numId w:val="1"/>
        </w:numPr>
        <w:spacing w:after="60"/>
      </w:pPr>
      <w:r>
        <w:rPr>
          <w:rFonts w:ascii="Arial" w:cs="Arial" w:eastAsia="Arial" w:hAnsi="Arial"/>
          <w:sz w:val="20"/>
          <w:szCs w:val="20"/>
        </w:rPr>
        <w:t xml:space="preserve">The proposed rating should therefore reflect strong operating scale but elevated leverage, liquidity/refinancing dependence, weak debt-service coverage and incomplete security and relationship information.</w:t>
      </w:r>
    </w:p>
    <w:p>
      <w:pPr>
        <w:pStyle w:val="Heading1"/>
        <w:spacing w:after="120" w:before="240"/>
      </w:pPr>
      <w:r>
        <w:rPr>
          <w:rFonts w:ascii="Arial" w:cs="Arial" w:eastAsia="Arial" w:hAnsi="Arial"/>
          <w:b/>
          <w:bCs/>
          <w:color w:val="1F3864"/>
          <w:sz w:val="26"/>
          <w:szCs w:val="26"/>
        </w:rPr>
        <w:t xml:space="preserve">X. Risks &amp; Mitigants</w:t>
      </w:r>
    </w:p>
    <w:p>
      <w:pPr>
        <w:spacing w:after="120"/>
      </w:pPr>
      <w:r>
        <w:rPr>
          <w:rFonts w:ascii="Arial" w:cs="Arial" w:eastAsia="Arial" w:hAnsi="Arial"/>
          <w:i/>
          <w:iCs/>
          <w:color w:val="C00000"/>
          <w:sz w:val="16"/>
          <w:szCs w:val="16"/>
        </w:rPr>
        <w:t xml:space="preserve">[AI-generated draft — pending analyst approval]</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Risk</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Description</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Mitigant</w:t>
            </w:r>
          </w:p>
        </w:tc>
      </w:tr>
      <w:tr>
        <w:tc>
          <w:tcPr>
            <w:tcMar>
              <w:top w:type="dxa" w:w="40"/>
              <w:left w:type="dxa" w:w="80"/>
              <w:bottom w:type="dxa" w:w="40"/>
              <w:right w:type="dxa" w:w="80"/>
            </w:tcMar>
          </w:tcPr>
          <w:p>
            <w:r>
              <w:rPr>
                <w:rFonts w:ascii="Arial" w:cs="Arial" w:eastAsia="Arial" w:hAnsi="Arial"/>
                <w:sz w:val="18"/>
                <w:szCs w:val="18"/>
              </w:rPr>
              <w:t xml:space="preserve">Lower fund returns</w:t>
            </w:r>
          </w:p>
        </w:tc>
        <w:tc>
          <w:tcPr>
            <w:tcMar>
              <w:top w:type="dxa" w:w="40"/>
              <w:left w:type="dxa" w:w="80"/>
              <w:bottom w:type="dxa" w:w="40"/>
              <w:right w:type="dxa" w:w="80"/>
            </w:tcMar>
          </w:tcPr>
          <w:p>
            <w:r>
              <w:rPr>
                <w:rFonts w:ascii="Arial" w:cs="Arial" w:eastAsia="Arial" w:hAnsi="Arial"/>
                <w:sz w:val="18"/>
                <w:szCs w:val="18"/>
              </w:rPr>
              <w:t xml:space="preserve">The repayment case may depend on the value or realisation of pledged securities/fund units; no return assumptions, portfolio composition or performance history has been provided.</w:t>
            </w:r>
          </w:p>
        </w:tc>
        <w:tc>
          <w:tcPr>
            <w:tcMar>
              <w:top w:type="dxa" w:w="40"/>
              <w:left w:type="dxa" w:w="80"/>
              <w:bottom w:type="dxa" w:w="40"/>
              <w:right w:type="dxa" w:w="80"/>
            </w:tcMar>
          </w:tcPr>
          <w:p>
            <w:r>
              <w:rPr>
                <w:rFonts w:ascii="Arial" w:cs="Arial" w:eastAsia="Arial" w:hAnsi="Arial"/>
                <w:sz w:val="18"/>
                <w:szCs w:val="18"/>
              </w:rPr>
              <w:t xml:space="preserve">Maintain the proposed LTV cap of 70%, require documented eligible assets and apply the 75% top-up and 85% liquidation triggers, subject to confirmation of enforceability and operating mechanics. (Source: application form)</w:t>
            </w:r>
          </w:p>
        </w:tc>
      </w:tr>
      <w:tr>
        <w:tc>
          <w:tcPr>
            <w:tcMar>
              <w:top w:type="dxa" w:w="40"/>
              <w:left w:type="dxa" w:w="80"/>
              <w:bottom w:type="dxa" w:w="40"/>
              <w:right w:type="dxa" w:w="80"/>
            </w:tcMar>
          </w:tcPr>
          <w:p>
            <w:r>
              <w:rPr>
                <w:rFonts w:ascii="Arial" w:cs="Arial" w:eastAsia="Arial" w:hAnsi="Arial"/>
                <w:sz w:val="18"/>
                <w:szCs w:val="18"/>
              </w:rPr>
              <w:t xml:space="preserve">Security risk</w:t>
            </w:r>
          </w:p>
        </w:tc>
        <w:tc>
          <w:tcPr>
            <w:tcMar>
              <w:top w:type="dxa" w:w="40"/>
              <w:left w:type="dxa" w:w="80"/>
              <w:bottom w:type="dxa" w:w="40"/>
              <w:right w:type="dxa" w:w="80"/>
            </w:tcMar>
          </w:tcPr>
          <w:p>
            <w:r>
              <w:rPr>
                <w:rFonts w:ascii="Arial" w:cs="Arial" w:eastAsia="Arial" w:hAnsi="Arial"/>
                <w:sz w:val="18"/>
                <w:szCs w:val="18"/>
              </w:rPr>
              <w:t xml:space="preserve">Security coverage is stated at 143%, but no collateral documentation, independent valuation, custody evidence or confirmation of unencumbered ownership has been provided. Existing investment properties are already mortgaged to a local bank. (Source: application form; Source: SIIL -HY 2026-English Signed.pdf, p.16)</w:t>
            </w:r>
          </w:p>
        </w:tc>
        <w:tc>
          <w:tcPr>
            <w:tcMar>
              <w:top w:type="dxa" w:w="40"/>
              <w:left w:type="dxa" w:w="80"/>
              <w:bottom w:type="dxa" w:w="40"/>
              <w:right w:type="dxa" w:w="80"/>
            </w:tcMar>
          </w:tcPr>
          <w:p>
            <w:r>
              <w:rPr>
                <w:rFonts w:ascii="Arial" w:cs="Arial" w:eastAsia="Arial" w:hAnsi="Arial"/>
                <w:sz w:val="18"/>
                <w:szCs w:val="18"/>
              </w:rPr>
              <w:t xml:space="preserve">Obtain perfected first-ranking security, acceptable valuation and custody confirmations; verify priority, margining, liquidity and absence of competing encumbrances before utilisation.</w:t>
            </w:r>
          </w:p>
        </w:tc>
      </w:tr>
      <w:tr>
        <w:tc>
          <w:tcPr>
            <w:tcMar>
              <w:top w:type="dxa" w:w="40"/>
              <w:left w:type="dxa" w:w="80"/>
              <w:bottom w:type="dxa" w:w="40"/>
              <w:right w:type="dxa" w:w="80"/>
            </w:tcMar>
          </w:tcPr>
          <w:p>
            <w:r>
              <w:rPr>
                <w:rFonts w:ascii="Arial" w:cs="Arial" w:eastAsia="Arial" w:hAnsi="Arial"/>
                <w:sz w:val="18"/>
                <w:szCs w:val="18"/>
              </w:rPr>
              <w:t xml:space="preserve">Interest rate risk</w:t>
            </w:r>
          </w:p>
        </w:tc>
        <w:tc>
          <w:tcPr>
            <w:tcMar>
              <w:top w:type="dxa" w:w="40"/>
              <w:left w:type="dxa" w:w="80"/>
              <w:bottom w:type="dxa" w:w="40"/>
              <w:right w:type="dxa" w:w="80"/>
            </w:tcMar>
          </w:tcPr>
          <w:p>
            <w:r>
              <w:rPr>
                <w:rFonts w:ascii="Arial" w:cs="Arial" w:eastAsia="Arial" w:hAnsi="Arial"/>
                <w:sz w:val="18"/>
                <w:szCs w:val="18"/>
              </w:rPr>
              <w:t xml:space="preserve">The proposed pricing references 3M SOFR and the facility has a long 25-year tenor. The stated maximum all-in rate of 0.03% appears inconsistent with a SOFR-based structure and requires confirmation. (Source: application form)</w:t>
            </w:r>
          </w:p>
        </w:tc>
        <w:tc>
          <w:tcPr>
            <w:tcMar>
              <w:top w:type="dxa" w:w="40"/>
              <w:left w:type="dxa" w:w="80"/>
              <w:bottom w:type="dxa" w:w="40"/>
              <w:right w:type="dxa" w:w="80"/>
            </w:tcMar>
          </w:tcPr>
          <w:p>
            <w:r>
              <w:rPr>
                <w:rFonts w:ascii="Arial" w:cs="Arial" w:eastAsia="Arial" w:hAnsi="Arial"/>
                <w:sz w:val="18"/>
                <w:szCs w:val="18"/>
              </w:rPr>
              <w:t xml:space="preserve">Confirm pricing, reset, floor, hedging and interest-payment mechanics; assess affordability under higher-rate scenarios and require timely payment of interest.</w:t>
            </w:r>
          </w:p>
        </w:tc>
      </w:tr>
      <w:tr>
        <w:tc>
          <w:tcPr>
            <w:tcMar>
              <w:top w:type="dxa" w:w="40"/>
              <w:left w:type="dxa" w:w="80"/>
              <w:bottom w:type="dxa" w:w="40"/>
              <w:right w:type="dxa" w:w="80"/>
            </w:tcMar>
          </w:tcPr>
          <w:p>
            <w:r>
              <w:rPr>
                <w:rFonts w:ascii="Arial" w:cs="Arial" w:eastAsia="Arial" w:hAnsi="Arial"/>
                <w:sz w:val="18"/>
                <w:szCs w:val="18"/>
              </w:rPr>
              <w:t xml:space="preserve">Repayment risk</w:t>
            </w:r>
          </w:p>
        </w:tc>
        <w:tc>
          <w:tcPr>
            <w:tcMar>
              <w:top w:type="dxa" w:w="40"/>
              <w:left w:type="dxa" w:w="80"/>
              <w:bottom w:type="dxa" w:w="40"/>
              <w:right w:type="dxa" w:w="80"/>
            </w:tcMar>
          </w:tcPr>
          <w:p>
            <w:r>
              <w:rPr>
                <w:rFonts w:ascii="Arial" w:cs="Arial" w:eastAsia="Arial" w:hAnsi="Arial"/>
                <w:sz w:val="18"/>
                <w:szCs w:val="18"/>
              </w:rPr>
              <w:t xml:space="preserve">FY2025 DSCR is submitted at 0.40x, and operating cash flow covered reported debt service by approximately 0.29x. (Source: application form; Source: SIIL Console FS 2025</w:t>
            </w:r>
            <w:r>
              <w:rPr>
                <w:rFonts w:ascii="Arial" w:cs="Arial" w:eastAsia="Arial" w:hAnsi="Arial"/>
                <w:i/>
                <w:iCs/>
                <w:sz w:val="18"/>
                <w:szCs w:val="18"/>
              </w:rPr>
              <w:t xml:space="preserve">EN</w:t>
            </w:r>
            <w:r>
              <w:rPr>
                <w:rFonts w:ascii="Arial" w:cs="Arial" w:eastAsia="Arial" w:hAnsi="Arial"/>
                <w:sz w:val="18"/>
                <w:szCs w:val="18"/>
              </w:rPr>
              <w:t xml:space="preserve">Signed.pdf, p.35)</w:t>
            </w:r>
          </w:p>
        </w:tc>
        <w:tc>
          <w:tcPr>
            <w:tcMar>
              <w:top w:type="dxa" w:w="40"/>
              <w:left w:type="dxa" w:w="80"/>
              <w:bottom w:type="dxa" w:w="40"/>
              <w:right w:type="dxa" w:w="80"/>
            </w:tcMar>
          </w:tcPr>
          <w:p>
            <w:r>
              <w:rPr>
                <w:rFonts w:ascii="Arial" w:cs="Arial" w:eastAsia="Arial" w:hAnsi="Arial"/>
                <w:sz w:val="18"/>
                <w:szCs w:val="18"/>
              </w:rPr>
              <w:t xml:space="preserve">Require a documented repayment source, periodic cash-flow monitoring, mandatory prepayment from identified proceeds and enforceable margin-call/liquidation rights.</w:t>
            </w:r>
          </w:p>
        </w:tc>
      </w:tr>
      <w:tr>
        <w:tc>
          <w:tcPr>
            <w:tcMar>
              <w:top w:type="dxa" w:w="40"/>
              <w:left w:type="dxa" w:w="80"/>
              <w:bottom w:type="dxa" w:w="40"/>
              <w:right w:type="dxa" w:w="80"/>
            </w:tcMar>
          </w:tcPr>
          <w:p>
            <w:r>
              <w:rPr>
                <w:rFonts w:ascii="Arial" w:cs="Arial" w:eastAsia="Arial" w:hAnsi="Arial"/>
                <w:sz w:val="18"/>
                <w:szCs w:val="18"/>
              </w:rPr>
              <w:t xml:space="preserve">Cash flow &amp; liquidity mismatch</w:t>
            </w:r>
          </w:p>
        </w:tc>
        <w:tc>
          <w:tcPr>
            <w:tcMar>
              <w:top w:type="dxa" w:w="40"/>
              <w:left w:type="dxa" w:w="80"/>
              <w:bottom w:type="dxa" w:w="40"/>
              <w:right w:type="dxa" w:w="80"/>
            </w:tcMar>
          </w:tcPr>
          <w:p>
            <w:r>
              <w:rPr>
                <w:rFonts w:ascii="Arial" w:cs="Arial" w:eastAsia="Arial" w:hAnsi="Arial"/>
                <w:sz w:val="18"/>
                <w:szCs w:val="18"/>
              </w:rPr>
              <w:t xml:space="preserve">Total debt was QAR 2,269,365 thousand at FY2025, while FY2025 operating cash flow was QAR 194,653 thousand. (Source: SIIL Console FS 2025</w:t>
            </w:r>
            <w:r>
              <w:rPr>
                <w:rFonts w:ascii="Arial" w:cs="Arial" w:eastAsia="Arial" w:hAnsi="Arial"/>
                <w:i/>
                <w:iCs/>
                <w:sz w:val="18"/>
                <w:szCs w:val="18"/>
              </w:rPr>
              <w:t xml:space="preserve">EN</w:t>
            </w:r>
            <w:r>
              <w:rPr>
                <w:rFonts w:ascii="Arial" w:cs="Arial" w:eastAsia="Arial" w:hAnsi="Arial"/>
                <w:sz w:val="18"/>
                <w:szCs w:val="18"/>
              </w:rPr>
              <w:t xml:space="preserve">Signed.pdf, pp.35, 66)</w:t>
            </w:r>
          </w:p>
        </w:tc>
        <w:tc>
          <w:tcPr>
            <w:tcMar>
              <w:top w:type="dxa" w:w="40"/>
              <w:left w:type="dxa" w:w="80"/>
              <w:bottom w:type="dxa" w:w="40"/>
              <w:right w:type="dxa" w:w="80"/>
            </w:tcMar>
          </w:tcPr>
          <w:p>
            <w:r>
              <w:rPr>
                <w:rFonts w:ascii="Arial" w:cs="Arial" w:eastAsia="Arial" w:hAnsi="Arial"/>
                <w:sz w:val="18"/>
                <w:szCs w:val="18"/>
              </w:rPr>
              <w:t xml:space="preserve">Obtain a complete debt maturity profile, monitor liquidity and covenant compliance, and require evidence that facility proceeds and operating cash flows are sufficient for scheduled obligations.</w:t>
            </w:r>
          </w:p>
        </w:tc>
      </w:tr>
      <w:tr>
        <w:tc>
          <w:tcPr>
            <w:tcMar>
              <w:top w:type="dxa" w:w="40"/>
              <w:left w:type="dxa" w:w="80"/>
              <w:bottom w:type="dxa" w:w="40"/>
              <w:right w:type="dxa" w:w="80"/>
            </w:tcMar>
          </w:tcPr>
          <w:p>
            <w:r>
              <w:rPr>
                <w:rFonts w:ascii="Arial" w:cs="Arial" w:eastAsia="Arial" w:hAnsi="Arial"/>
                <w:sz w:val="18"/>
                <w:szCs w:val="18"/>
              </w:rPr>
              <w:t xml:space="preserve">Capital call default</w:t>
            </w:r>
          </w:p>
        </w:tc>
        <w:tc>
          <w:tcPr>
            <w:tcMar>
              <w:top w:type="dxa" w:w="40"/>
              <w:left w:type="dxa" w:w="80"/>
              <w:bottom w:type="dxa" w:w="40"/>
              <w:right w:type="dxa" w:w="80"/>
            </w:tcMar>
          </w:tcPr>
          <w:p>
            <w:r>
              <w:rPr>
                <w:rFonts w:ascii="Arial" w:cs="Arial" w:eastAsia="Arial" w:hAnsi="Arial"/>
                <w:sz w:val="18"/>
                <w:szCs w:val="18"/>
              </w:rPr>
              <w:t xml:space="preserve">No information has been provided on capital calls, fund commitments or the borrower’s ability to meet them.</w:t>
            </w:r>
          </w:p>
        </w:tc>
        <w:tc>
          <w:tcPr>
            <w:tcMar>
              <w:top w:type="dxa" w:w="40"/>
              <w:left w:type="dxa" w:w="80"/>
              <w:bottom w:type="dxa" w:w="40"/>
              <w:right w:type="dxa" w:w="80"/>
            </w:tcMar>
          </w:tcPr>
          <w:p>
            <w:r>
              <w:rPr>
                <w:rFonts w:ascii="Arial" w:cs="Arial" w:eastAsia="Arial" w:hAnsi="Arial"/>
                <w:sz w:val="18"/>
                <w:szCs w:val="18"/>
              </w:rPr>
              <w:t xml:space="preserve">[Analyst to confirm: whether capital calls apply; if applicable, obtain commitment schedules and require sufficient liquidity or additional collateral.]</w:t>
            </w:r>
          </w:p>
        </w:tc>
      </w:tr>
      <w:tr>
        <w:tc>
          <w:tcPr>
            <w:tcMar>
              <w:top w:type="dxa" w:w="40"/>
              <w:left w:type="dxa" w:w="80"/>
              <w:bottom w:type="dxa" w:w="40"/>
              <w:right w:type="dxa" w:w="80"/>
            </w:tcMar>
          </w:tcPr>
          <w:p>
            <w:r>
              <w:rPr>
                <w:rFonts w:ascii="Arial" w:cs="Arial" w:eastAsia="Arial" w:hAnsi="Arial"/>
                <w:sz w:val="18"/>
                <w:szCs w:val="18"/>
              </w:rPr>
              <w:t xml:space="preserve">Valuation lag</w:t>
            </w:r>
          </w:p>
        </w:tc>
        <w:tc>
          <w:tcPr>
            <w:tcMar>
              <w:top w:type="dxa" w:w="40"/>
              <w:left w:type="dxa" w:w="80"/>
              <w:bottom w:type="dxa" w:w="40"/>
              <w:right w:type="dxa" w:w="80"/>
            </w:tcMar>
          </w:tcPr>
          <w:p>
            <w:r>
              <w:rPr>
                <w:rFonts w:ascii="Arial" w:cs="Arial" w:eastAsia="Arial" w:hAnsi="Arial"/>
                <w:sz w:val="18"/>
                <w:szCs w:val="18"/>
              </w:rPr>
              <w:t xml:space="preserve">Pledged fund units/securities may be subject to market volatility and delayed valuation or liquidation.</w:t>
            </w:r>
          </w:p>
        </w:tc>
        <w:tc>
          <w:tcPr>
            <w:tcMar>
              <w:top w:type="dxa" w:w="40"/>
              <w:left w:type="dxa" w:w="80"/>
              <w:bottom w:type="dxa" w:w="40"/>
              <w:right w:type="dxa" w:w="80"/>
            </w:tcMar>
          </w:tcPr>
          <w:p>
            <w:r>
              <w:rPr>
                <w:rFonts w:ascii="Arial" w:cs="Arial" w:eastAsia="Arial" w:hAnsi="Arial"/>
                <w:sz w:val="18"/>
                <w:szCs w:val="18"/>
              </w:rPr>
              <w:t xml:space="preserve">Require frequent independent mark-to-market, daily or agreed margin monitoring, prompt top-up rights and liquidation at the stated trigger levels. (Source: application form)</w:t>
            </w:r>
          </w:p>
        </w:tc>
      </w:tr>
    </w:tbl>
    <w:p>
      <w:pPr>
        <w:spacing w:after="60"/>
      </w:pPr>
      <w:r>
        <w:rPr>
          <w:rFonts w:ascii="Arial" w:cs="Arial" w:eastAsia="Arial" w:hAnsi="Arial"/>
          <w:sz w:val="20"/>
          <w:szCs w:val="20"/>
        </w:rPr>
        <w:t xml:space="preserve"/>
      </w:r>
    </w:p>
    <w:p>
      <w:pPr>
        <w:pStyle w:val="Heading1"/>
        <w:spacing w:after="120" w:before="240"/>
      </w:pPr>
      <w:r>
        <w:rPr>
          <w:rFonts w:ascii="Arial" w:cs="Arial" w:eastAsia="Arial" w:hAnsi="Arial"/>
          <w:b/>
          <w:bCs/>
          <w:color w:val="1F3864"/>
          <w:sz w:val="26"/>
          <w:szCs w:val="26"/>
        </w:rPr>
        <w:t xml:space="preserve">XI. Recommendation</w:t>
      </w:r>
    </w:p>
    <w:p>
      <w:pPr>
        <w:spacing w:after="120"/>
      </w:pPr>
      <w:r>
        <w:rPr>
          <w:rFonts w:ascii="Arial" w:cs="Arial" w:eastAsia="Arial" w:hAnsi="Arial"/>
          <w:i/>
          <w:iCs/>
          <w:color w:val="C00000"/>
          <w:sz w:val="16"/>
          <w:szCs w:val="16"/>
        </w:rPr>
        <w:t xml:space="preserve">[AI-generated draft — pending analyst approval]</w:t>
      </w:r>
    </w:p>
    <w:p>
      <w:pPr>
        <w:spacing w:after="60"/>
        <w:ind w:left="360" w:hanging="360"/>
      </w:pPr>
      <w:r>
        <w:rPr>
          <w:rFonts w:ascii="Arial" w:cs="Arial" w:eastAsia="Arial" w:hAnsi="Arial"/>
          <w:sz w:val="20"/>
          <w:szCs w:val="20"/>
        </w:rPr>
        <w:t xml:space="preserve">1. </w:t>
      </w:r>
      <w:r>
        <w:rPr>
          <w:rFonts w:ascii="Arial" w:cs="Arial" w:eastAsia="Arial" w:hAnsi="Arial"/>
          <w:sz w:val="20"/>
          <w:szCs w:val="20"/>
        </w:rPr>
        <w:t xml:space="preserve">The proposal is for a USD 10,000 thousand Demand Loan, equivalent to QAR 36,500 thousand at the fixed parity of 3.65, with a 25-year tenor and two-year availability period. (Source: application form)</w:t>
      </w:r>
    </w:p>
    <w:p>
      <w:pPr>
        <w:spacing w:after="60"/>
        <w:ind w:left="360" w:hanging="360"/>
      </w:pPr>
      <w:r>
        <w:rPr>
          <w:rFonts w:ascii="Arial" w:cs="Arial" w:eastAsia="Arial" w:hAnsi="Arial"/>
          <w:sz w:val="20"/>
          <w:szCs w:val="20"/>
        </w:rPr>
        <w:t xml:space="preserve">2. </w:t>
      </w:r>
      <w:r>
        <w:rPr>
          <w:rFonts w:ascii="Arial" w:cs="Arial" w:eastAsia="Arial" w:hAnsi="Arial"/>
          <w:sz w:val="20"/>
          <w:szCs w:val="20"/>
        </w:rPr>
        <w:t xml:space="preserve">The borrower demonstrates scale, revenue growth and positive profitability; FY2025 revenue increased by 10.8% and net profit was QAR 102,343 thousand. (Source: application form; Source: SIIL FS March English 2025.pdf, p.4)</w:t>
      </w:r>
    </w:p>
    <w:p>
      <w:pPr>
        <w:spacing w:after="60"/>
        <w:ind w:left="360" w:hanging="360"/>
      </w:pPr>
      <w:r>
        <w:rPr>
          <w:rFonts w:ascii="Arial" w:cs="Arial" w:eastAsia="Arial" w:hAnsi="Arial"/>
          <w:sz w:val="20"/>
          <w:szCs w:val="20"/>
        </w:rPr>
        <w:t xml:space="preserve">3. </w:t>
      </w:r>
      <w:r>
        <w:rPr>
          <w:rFonts w:ascii="Arial" w:cs="Arial" w:eastAsia="Arial" w:hAnsi="Arial"/>
          <w:sz w:val="20"/>
          <w:szCs w:val="20"/>
        </w:rPr>
        <w:t xml:space="preserve">The principal credit constraint is debt-servicing capacity. FY2025 DSCR is submitted at 0.40x, while operating cash flow covered reported debt service by approximately 0.29x. (Source: application form;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p.35)</w:t>
      </w:r>
    </w:p>
    <w:p>
      <w:pPr>
        <w:spacing w:after="60"/>
        <w:ind w:left="360" w:hanging="360"/>
      </w:pPr>
      <w:r>
        <w:rPr>
          <w:rFonts w:ascii="Arial" w:cs="Arial" w:eastAsia="Arial" w:hAnsi="Arial"/>
          <w:sz w:val="20"/>
          <w:szCs w:val="20"/>
        </w:rPr>
        <w:t xml:space="preserve">4. </w:t>
      </w:r>
      <w:r>
        <w:rPr>
          <w:rFonts w:ascii="Arial" w:cs="Arial" w:eastAsia="Arial" w:hAnsi="Arial"/>
          <w:sz w:val="20"/>
          <w:szCs w:val="20"/>
        </w:rPr>
        <w:t xml:space="preserve">The proposal is also subject to material leverage, credit-impaired receivables, related-party exposures, existing secured borrowings and incomplete information on account conduct, bureau checks and collateral.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pp.35, 60, 66, 81)</w:t>
      </w:r>
    </w:p>
    <w:p>
      <w:pPr>
        <w:spacing w:after="60"/>
        <w:ind w:left="360" w:hanging="360"/>
      </w:pPr>
      <w:r>
        <w:rPr>
          <w:rFonts w:ascii="Arial" w:cs="Arial" w:eastAsia="Arial" w:hAnsi="Arial"/>
          <w:sz w:val="20"/>
          <w:szCs w:val="20"/>
        </w:rPr>
        <w:t xml:space="preserve">5. </w:t>
      </w:r>
      <w:r>
        <w:rPr>
          <w:rFonts w:ascii="Arial" w:cs="Arial" w:eastAsia="Arial" w:hAnsi="Arial"/>
          <w:sz w:val="20"/>
          <w:szCs w:val="20"/>
        </w:rPr>
        <w:t xml:space="preserve">Any consideration should be conditional upon satisfactory KYC and constitutional documents, QCB approval for FX lending, current QCB and credit bureau reports, bank statements, audited annual financial statements, acceptable collateral documentation, independent valuation/custody confirmation and confirmation of the repayment and pricing structure. (Source: application form)</w:t>
      </w:r>
    </w:p>
    <w:p>
      <w:pPr>
        <w:spacing w:after="60"/>
        <w:ind w:left="360" w:hanging="360"/>
      </w:pPr>
      <w:r>
        <w:rPr>
          <w:rFonts w:ascii="Arial" w:cs="Arial" w:eastAsia="Arial" w:hAnsi="Arial"/>
          <w:sz w:val="20"/>
          <w:szCs w:val="20"/>
        </w:rPr>
        <w:t xml:space="preserve">6. </w:t>
      </w:r>
      <w:r>
        <w:rPr>
          <w:rFonts w:ascii="Arial" w:cs="Arial" w:eastAsia="Arial" w:hAnsi="Arial"/>
          <w:sz w:val="20"/>
          <w:szCs w:val="20"/>
        </w:rPr>
        <w:t xml:space="preserve">[Analyst to confirm: guarantor identity, proposed risk rating, final collateral package, pari passu position, repayment schedule and all-in pricing cap.]</w:t>
      </w:r>
    </w:p>
    <w:p>
      <w:pPr>
        <w:spacing w:after="120"/>
        <w:jc w:val="both"/>
      </w:pPr>
      <w:r>
        <w:rPr>
          <w:rFonts w:ascii="Arial" w:cs="Arial" w:eastAsia="Arial" w:hAnsi="Arial"/>
          <w:sz w:val="20"/>
          <w:szCs w:val="20"/>
        </w:rPr>
        <w:t xml:space="preserve">The facility is proposed for the Credit Committee’s consideration, subject to satisfactory resolution of the above matters and the imposition of appropriate conditions precedent, covenants and monitoring requirements.</w:t>
      </w:r>
    </w:p>
    <w:p>
      <w:pPr>
        <w:pStyle w:val="Heading1"/>
        <w:spacing w:after="120" w:before="240"/>
      </w:pPr>
      <w:r>
        <w:rPr>
          <w:rFonts w:ascii="Arial" w:cs="Arial" w:eastAsia="Arial" w:hAnsi="Arial"/>
          <w:b/>
          <w:bCs/>
          <w:color w:val="1F3864"/>
          <w:sz w:val="26"/>
          <w:szCs w:val="26"/>
        </w:rPr>
        <w:t xml:space="preserve">Additional Sections</w:t>
      </w:r>
    </w:p>
    <w:p>
      <w:pPr>
        <w:pStyle w:val="Heading2"/>
        <w:spacing w:after="120" w:before="240"/>
      </w:pPr>
      <w:r>
        <w:rPr>
          <w:rFonts w:ascii="Arial" w:cs="Arial" w:eastAsia="Arial" w:hAnsi="Arial"/>
          <w:b/>
          <w:bCs/>
          <w:color w:val="1F3864"/>
          <w:sz w:val="22"/>
          <w:szCs w:val="22"/>
        </w:rPr>
        <w:t xml:space="preserve">i want you to pull down 10 years worth of dividend history and plot it in a graph, and then also comment on the history</w:t>
      </w:r>
    </w:p>
    <w:p>
      <w:pPr>
        <w:spacing w:after="120"/>
      </w:pPr>
      <w:r>
        <w:rPr>
          <w:rFonts w:ascii="Arial" w:cs="Arial" w:eastAsia="Arial" w:hAnsi="Arial"/>
          <w:i/>
          <w:iCs/>
          <w:color w:val="C00000"/>
          <w:sz w:val="16"/>
          <w:szCs w:val="16"/>
        </w:rPr>
        <w:t xml:space="preserve">[Researched on the web — not taken from the uploaded document pack; every figure must be verified]</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For the latest ten completed financial years (2016–2025), the dividend record is presented below on a </w:t>
      </w:r>
      <w:r>
        <w:rPr>
          <w:rFonts w:ascii="Arial" w:cs="Arial" w:eastAsia="Arial" w:hAnsi="Arial"/>
          <w:b/>
          <w:bCs/>
          <w:sz w:val="20"/>
          <w:szCs w:val="20"/>
        </w:rPr>
        <w:t xml:space="preserve">post-2019 stock-split basis</w:t>
      </w:r>
      <w:r>
        <w:rPr>
          <w:rFonts w:ascii="Arial" w:cs="Arial" w:eastAsia="Arial" w:hAnsi="Arial"/>
          <w:sz w:val="20"/>
          <w:szCs w:val="20"/>
        </w:rPr>
        <w:t xml:space="preserve">. Salam International implemented a 10-for-1 share split effective 23 June 2019; accordingly, the 2016 and 2017 historical dividends of QAR 1.00 and QAR 0.80 are shown as QAR 0.10 and QAR 0.08 per current share, respectively ([SIIL 2020 Annual Report](https://siis.com/wp-content/uploads/2022/10/1674</w:t>
      </w:r>
      <w:r>
        <w:rPr>
          <w:rFonts w:ascii="Arial" w:cs="Arial" w:eastAsia="Arial" w:hAnsi="Arial"/>
          <w:i/>
          <w:iCs/>
          <w:sz w:val="20"/>
          <w:szCs w:val="20"/>
        </w:rPr>
        <w:t xml:space="preserve">001</w:t>
      </w:r>
      <w:r>
        <w:rPr>
          <w:rFonts w:ascii="Arial" w:cs="Arial" w:eastAsia="Arial" w:hAnsi="Arial"/>
          <w:sz w:val="20"/>
          <w:szCs w:val="20"/>
        </w:rPr>
        <w:t xml:space="preserve">0.pdf?forcedownload=1); [MarketScreener dividend history](https://www.marketscreener.com/quote/stock/SALAM-INTERNATIONAL-INVES-9733973/graphics-total-return/)).</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Financial year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Dividend per share (QAR)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Evidence</w:t>
            </w:r>
          </w:p>
        </w:tc>
      </w:tr>
      <w:tr>
        <w:tc>
          <w:tcPr>
            <w:tcMar>
              <w:top w:type="dxa" w:w="40"/>
              <w:left w:type="dxa" w:w="80"/>
              <w:bottom w:type="dxa" w:w="40"/>
              <w:right w:type="dxa" w:w="80"/>
            </w:tcMar>
          </w:tcPr>
          <w:p>
            <w:r>
              <w:rPr>
                <w:rFonts w:ascii="Arial" w:cs="Arial" w:eastAsia="Arial" w:hAnsi="Arial"/>
                <w:sz w:val="18"/>
                <w:szCs w:val="18"/>
              </w:rPr>
              <w:t xml:space="preserve">2016</w:t>
            </w:r>
          </w:p>
        </w:tc>
        <w:tc>
          <w:tcPr>
            <w:tcMar>
              <w:top w:type="dxa" w:w="40"/>
              <w:left w:type="dxa" w:w="80"/>
              <w:bottom w:type="dxa" w:w="40"/>
              <w:right w:type="dxa" w:w="80"/>
            </w:tcMar>
          </w:tcPr>
          <w:p>
            <w:r>
              <w:rPr>
                <w:rFonts w:ascii="Arial" w:cs="Arial" w:eastAsia="Arial" w:hAnsi="Arial"/>
                <w:sz w:val="18"/>
                <w:szCs w:val="18"/>
              </w:rPr>
              <w:t xml:space="preserve">0.10</w:t>
            </w:r>
          </w:p>
        </w:tc>
        <w:tc>
          <w:tcPr>
            <w:tcMar>
              <w:top w:type="dxa" w:w="40"/>
              <w:left w:type="dxa" w:w="80"/>
              <w:bottom w:type="dxa" w:w="40"/>
              <w:right w:type="dxa" w:w="80"/>
            </w:tcMar>
          </w:tcPr>
          <w:p>
            <w:r>
              <w:rPr>
                <w:rFonts w:ascii="Arial" w:cs="Arial" w:eastAsia="Arial" w:hAnsi="Arial"/>
                <w:sz w:val="18"/>
                <w:szCs w:val="18"/>
              </w:rPr>
              <w:t xml:space="preserve">[MarketScreener](https://www.marketscreener.com/quote/stock/SALAM-INTERNATIONAL-INVES-9733973/graphics-total-return/)</w:t>
            </w:r>
          </w:p>
        </w:tc>
      </w:tr>
      <w:tr>
        <w:tc>
          <w:tcPr>
            <w:tcMar>
              <w:top w:type="dxa" w:w="40"/>
              <w:left w:type="dxa" w:w="80"/>
              <w:bottom w:type="dxa" w:w="40"/>
              <w:right w:type="dxa" w:w="80"/>
            </w:tcMar>
          </w:tcPr>
          <w:p>
            <w:r>
              <w:rPr>
                <w:rFonts w:ascii="Arial" w:cs="Arial" w:eastAsia="Arial" w:hAnsi="Arial"/>
                <w:sz w:val="18"/>
                <w:szCs w:val="18"/>
              </w:rPr>
              <w:t xml:space="preserve">2017</w:t>
            </w:r>
          </w:p>
        </w:tc>
        <w:tc>
          <w:tcPr>
            <w:tcMar>
              <w:top w:type="dxa" w:w="40"/>
              <w:left w:type="dxa" w:w="80"/>
              <w:bottom w:type="dxa" w:w="40"/>
              <w:right w:type="dxa" w:w="80"/>
            </w:tcMar>
          </w:tcPr>
          <w:p>
            <w:r>
              <w:rPr>
                <w:rFonts w:ascii="Arial" w:cs="Arial" w:eastAsia="Arial" w:hAnsi="Arial"/>
                <w:sz w:val="18"/>
                <w:szCs w:val="18"/>
              </w:rPr>
              <w:t xml:space="preserve">0.08</w:t>
            </w:r>
          </w:p>
        </w:tc>
        <w:tc>
          <w:tcPr>
            <w:tcMar>
              <w:top w:type="dxa" w:w="40"/>
              <w:left w:type="dxa" w:w="80"/>
              <w:bottom w:type="dxa" w:w="40"/>
              <w:right w:type="dxa" w:w="80"/>
            </w:tcMar>
          </w:tcPr>
          <w:p>
            <w:r>
              <w:rPr>
                <w:rFonts w:ascii="Arial" w:cs="Arial" w:eastAsia="Arial" w:hAnsi="Arial"/>
                <w:sz w:val="18"/>
                <w:szCs w:val="18"/>
              </w:rPr>
              <w:t xml:space="preserve">[MarketScreener](https://www.marketscreener.com/quote/stock/SALAM-INTERNATIONAL-INVES-9733973/graphics-total-return/)</w:t>
            </w:r>
          </w:p>
        </w:tc>
      </w:tr>
      <w:tr>
        <w:tc>
          <w:tcPr>
            <w:tcMar>
              <w:top w:type="dxa" w:w="40"/>
              <w:left w:type="dxa" w:w="80"/>
              <w:bottom w:type="dxa" w:w="40"/>
              <w:right w:type="dxa" w:w="80"/>
            </w:tcMar>
          </w:tcPr>
          <w:p>
            <w:r>
              <w:rPr>
                <w:rFonts w:ascii="Arial" w:cs="Arial" w:eastAsia="Arial" w:hAnsi="Arial"/>
                <w:sz w:val="18"/>
                <w:szCs w:val="18"/>
              </w:rPr>
              <w:t xml:space="preserve">2018</w:t>
            </w:r>
          </w:p>
        </w:tc>
        <w:tc>
          <w:tcPr>
            <w:tcMar>
              <w:top w:type="dxa" w:w="40"/>
              <w:left w:type="dxa" w:w="80"/>
              <w:bottom w:type="dxa" w:w="40"/>
              <w:right w:type="dxa" w:w="80"/>
            </w:tcMar>
          </w:tcPr>
          <w:p>
            <w:r>
              <w:rPr>
                <w:rFonts w:ascii="Arial" w:cs="Arial" w:eastAsia="Arial" w:hAnsi="Arial"/>
                <w:sz w:val="18"/>
                <w:szCs w:val="18"/>
              </w:rPr>
              <w:t xml:space="preserve">0.00</w:t>
            </w:r>
          </w:p>
        </w:tc>
        <w:tc>
          <w:tcPr>
            <w:tcMar>
              <w:top w:type="dxa" w:w="40"/>
              <w:left w:type="dxa" w:w="80"/>
              <w:bottom w:type="dxa" w:w="40"/>
              <w:right w:type="dxa" w:w="80"/>
            </w:tcMar>
          </w:tcPr>
          <w:p>
            <w:r>
              <w:rPr>
                <w:rFonts w:ascii="Arial" w:cs="Arial" w:eastAsia="Arial" w:hAnsi="Arial"/>
                <w:sz w:val="18"/>
                <w:szCs w:val="18"/>
              </w:rPr>
              <w:t xml:space="preserve">[Gulf Times](https://www.gulf-times.com/story/627622/salam-international-investment-shareholders-approve-stock-split)</w:t>
            </w:r>
          </w:p>
        </w:tc>
      </w:tr>
      <w:tr>
        <w:tc>
          <w:tcPr>
            <w:tcMar>
              <w:top w:type="dxa" w:w="40"/>
              <w:left w:type="dxa" w:w="80"/>
              <w:bottom w:type="dxa" w:w="40"/>
              <w:right w:type="dxa" w:w="80"/>
            </w:tcMar>
          </w:tcPr>
          <w:p>
            <w:r>
              <w:rPr>
                <w:rFonts w:ascii="Arial" w:cs="Arial" w:eastAsia="Arial" w:hAnsi="Arial"/>
                <w:sz w:val="18"/>
                <w:szCs w:val="18"/>
              </w:rPr>
              <w:t xml:space="preserve">2019–2022</w:t>
            </w:r>
          </w:p>
        </w:tc>
        <w:tc>
          <w:tcPr>
            <w:tcMar>
              <w:top w:type="dxa" w:w="40"/>
              <w:left w:type="dxa" w:w="80"/>
              <w:bottom w:type="dxa" w:w="40"/>
              <w:right w:type="dxa" w:w="80"/>
            </w:tcMar>
          </w:tcPr>
          <w:p>
            <w:r>
              <w:rPr>
                <w:rFonts w:ascii="Arial" w:cs="Arial" w:eastAsia="Arial" w:hAnsi="Arial"/>
                <w:sz w:val="18"/>
                <w:szCs w:val="18"/>
              </w:rPr>
              <w:t xml:space="preserve">Not independently verified</w:t>
            </w:r>
          </w:p>
        </w:tc>
        <w:tc>
          <w:tcPr>
            <w:tcMar>
              <w:top w:type="dxa" w:w="40"/>
              <w:left w:type="dxa" w:w="80"/>
              <w:bottom w:type="dxa" w:w="40"/>
              <w:right w:type="dxa" w:w="80"/>
            </w:tcMar>
          </w:tcPr>
          <w:p>
            <w:r>
              <w:rPr>
                <w:rFonts w:ascii="Arial" w:cs="Arial" w:eastAsia="Arial" w:hAnsi="Arial"/>
                <w:sz w:val="18"/>
                <w:szCs w:val="18"/>
              </w:rPr>
              <w:t xml:space="preserve">No payment is listed in the available historical series; the accessible official documents did not provide a definitive year-by-year declaration record.</w:t>
            </w:r>
          </w:p>
        </w:tc>
      </w:tr>
      <w:tr>
        <w:tc>
          <w:tcPr>
            <w:tcMar>
              <w:top w:type="dxa" w:w="40"/>
              <w:left w:type="dxa" w:w="80"/>
              <w:bottom w:type="dxa" w:w="40"/>
              <w:right w:type="dxa" w:w="80"/>
            </w:tcMar>
          </w:tcPr>
          <w:p>
            <w:r>
              <w:rPr>
                <w:rFonts w:ascii="Arial" w:cs="Arial" w:eastAsia="Arial" w:hAnsi="Arial"/>
                <w:sz w:val="18"/>
                <w:szCs w:val="18"/>
              </w:rPr>
              <w:t xml:space="preserve">2023</w:t>
            </w:r>
          </w:p>
        </w:tc>
        <w:tc>
          <w:tcPr>
            <w:tcMar>
              <w:top w:type="dxa" w:w="40"/>
              <w:left w:type="dxa" w:w="80"/>
              <w:bottom w:type="dxa" w:w="40"/>
              <w:right w:type="dxa" w:w="80"/>
            </w:tcMar>
          </w:tcPr>
          <w:p>
            <w:r>
              <w:rPr>
                <w:rFonts w:ascii="Arial" w:cs="Arial" w:eastAsia="Arial" w:hAnsi="Arial"/>
                <w:sz w:val="18"/>
                <w:szCs w:val="18"/>
              </w:rPr>
              <w:t xml:space="preserve">0.03</w:t>
            </w:r>
          </w:p>
        </w:tc>
        <w:tc>
          <w:tcPr>
            <w:tcMar>
              <w:top w:type="dxa" w:w="40"/>
              <w:left w:type="dxa" w:w="80"/>
              <w:bottom w:type="dxa" w:w="40"/>
              <w:right w:type="dxa" w:w="80"/>
            </w:tcMar>
          </w:tcPr>
          <w:p>
            <w:r>
              <w:rPr>
                <w:rFonts w:ascii="Arial" w:cs="Arial" w:eastAsia="Arial" w:hAnsi="Arial"/>
                <w:sz w:val="18"/>
                <w:szCs w:val="18"/>
              </w:rPr>
              <w:t xml:space="preserve">[SIIL 2024 Annual Report](https://siis.com/wp-content/uploads/2025/03/SIIL-AnnualReport2024-EN-AW-Digital.pdf?forcedownload=1)</w:t>
            </w:r>
          </w:p>
        </w:tc>
      </w:tr>
      <w:tr>
        <w:tc>
          <w:tcPr>
            <w:tcMar>
              <w:top w:type="dxa" w:w="40"/>
              <w:left w:type="dxa" w:w="80"/>
              <w:bottom w:type="dxa" w:w="40"/>
              <w:right w:type="dxa" w:w="80"/>
            </w:tcMar>
          </w:tcPr>
          <w:p>
            <w:r>
              <w:rPr>
                <w:rFonts w:ascii="Arial" w:cs="Arial" w:eastAsia="Arial" w:hAnsi="Arial"/>
                <w:sz w:val="18"/>
                <w:szCs w:val="18"/>
              </w:rPr>
              <w:t xml:space="preserve">2024</w:t>
            </w:r>
          </w:p>
        </w:tc>
        <w:tc>
          <w:tcPr>
            <w:tcMar>
              <w:top w:type="dxa" w:w="40"/>
              <w:left w:type="dxa" w:w="80"/>
              <w:bottom w:type="dxa" w:w="40"/>
              <w:right w:type="dxa" w:w="80"/>
            </w:tcMar>
          </w:tcPr>
          <w:p>
            <w:r>
              <w:rPr>
                <w:rFonts w:ascii="Arial" w:cs="Arial" w:eastAsia="Arial" w:hAnsi="Arial"/>
                <w:sz w:val="18"/>
                <w:szCs w:val="18"/>
              </w:rPr>
              <w:t xml:space="preserve">0.04</w:t>
            </w:r>
          </w:p>
        </w:tc>
        <w:tc>
          <w:tcPr>
            <w:tcMar>
              <w:top w:type="dxa" w:w="40"/>
              <w:left w:type="dxa" w:w="80"/>
              <w:bottom w:type="dxa" w:w="40"/>
              <w:right w:type="dxa" w:w="80"/>
            </w:tcMar>
          </w:tcPr>
          <w:p>
            <w:r>
              <w:rPr>
                <w:rFonts w:ascii="Arial" w:cs="Arial" w:eastAsia="Arial" w:hAnsi="Arial"/>
                <w:sz w:val="18"/>
                <w:szCs w:val="18"/>
              </w:rPr>
              <w:t xml:space="preserve">[SIIL AGM release, 11 March 2025](https://siis.com/wp-content/uploads/2025/03/3432_001.pdf)</w:t>
            </w:r>
          </w:p>
        </w:tc>
      </w:tr>
      <w:tr>
        <w:tc>
          <w:tcPr>
            <w:tcMar>
              <w:top w:type="dxa" w:w="40"/>
              <w:left w:type="dxa" w:w="80"/>
              <w:bottom w:type="dxa" w:w="40"/>
              <w:right w:type="dxa" w:w="80"/>
            </w:tcMar>
          </w:tcPr>
          <w:p>
            <w:r>
              <w:rPr>
                <w:rFonts w:ascii="Arial" w:cs="Arial" w:eastAsia="Arial" w:hAnsi="Arial"/>
                <w:sz w:val="18"/>
                <w:szCs w:val="18"/>
              </w:rPr>
              <w:t xml:space="preserve">2025</w:t>
            </w:r>
          </w:p>
        </w:tc>
        <w:tc>
          <w:tcPr>
            <w:tcMar>
              <w:top w:type="dxa" w:w="40"/>
              <w:left w:type="dxa" w:w="80"/>
              <w:bottom w:type="dxa" w:w="40"/>
              <w:right w:type="dxa" w:w="80"/>
            </w:tcMar>
          </w:tcPr>
          <w:p>
            <w:r>
              <w:rPr>
                <w:rFonts w:ascii="Arial" w:cs="Arial" w:eastAsia="Arial" w:hAnsi="Arial"/>
                <w:sz w:val="18"/>
                <w:szCs w:val="18"/>
              </w:rPr>
              <w:t xml:space="preserve">0.06</w:t>
            </w:r>
          </w:p>
        </w:tc>
        <w:tc>
          <w:tcPr>
            <w:tcMar>
              <w:top w:type="dxa" w:w="40"/>
              <w:left w:type="dxa" w:w="80"/>
              <w:bottom w:type="dxa" w:w="40"/>
              <w:right w:type="dxa" w:w="80"/>
            </w:tcMar>
          </w:tcPr>
          <w:p>
            <w:r>
              <w:rPr>
                <w:rFonts w:ascii="Arial" w:cs="Arial" w:eastAsia="Arial" w:hAnsi="Arial"/>
                <w:sz w:val="18"/>
                <w:szCs w:val="18"/>
              </w:rPr>
              <w:t xml:space="preserve">Approved at the AGM held on 29 March 2026 ([Qatar Stock Exchange](https://www.qe.com.qa/en/displaynewsdetails?InfoID=45532))</w:t>
            </w:r>
          </w:p>
        </w:tc>
      </w:tr>
    </w:tbl>
    <w:p>
      <w:pPr>
        <w:spacing w:after="60"/>
      </w:pPr>
      <w:r>
        <w:rPr>
          <w:rFonts w:ascii="Arial" w:cs="Arial" w:eastAsia="Arial" w:hAnsi="Arial"/>
          <w:sz w:val="20"/>
          <w:szCs w:val="20"/>
        </w:rPr>
        <w:t xml:space="preserve"/>
      </w:r>
    </w:p>
    <w:p>
      <w:pPr>
        <w:spacing w:after="120"/>
        <w:jc w:val="both"/>
      </w:pPr>
      <w:r>
        <w:rPr>
          <w:rFonts w:ascii="Arial" w:cs="Arial" w:eastAsia="Arial" w:hAnsi="Arial"/>
          <w:sz w:val="20"/>
          <w:szCs w:val="20"/>
        </w:rPr>
        <w:t xml:space="preserve">The record indicates a substantial reduction from 2016–2017 levels, followed by an apparent multi-year interruption and a gradual resumption from 2023. The increase from QAR 0.03 in 2023 to QAR 0.06 in 2025 is positive, but the overall record remains irregular and should not be interpreted as evidence of a stable or predictable dividend stream. The 2025 dividend was approved on 29 March 2026 and is therefore included by financial year, not declaration date.</w:t>
      </w:r>
    </w:p>
    <w:p>
      <w:pPr>
        <w:spacing w:after="60"/>
      </w:pPr>
      <w:r>
        <w:rPr>
          <w:rFonts w:ascii="Arial" w:cs="Arial" w:eastAsia="Arial" w:hAnsi="Arial"/>
          <w:b/>
          <w:bCs/>
          <w:sz w:val="18"/>
          <w:szCs w:val="18"/>
        </w:rPr>
        <w:t xml:space="preserve">Salam International dividend per share (QAR per share)</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Series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2016</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2017</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2018</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2019</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2020</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2021</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2022</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2025</w:t>
            </w:r>
          </w:p>
        </w:tc>
      </w:tr>
      <w:tr>
        <w:tc>
          <w:tcPr>
            <w:tcMar>
              <w:top w:type="dxa" w:w="40"/>
              <w:left w:type="dxa" w:w="80"/>
              <w:bottom w:type="dxa" w:w="40"/>
              <w:right w:type="dxa" w:w="80"/>
            </w:tcMar>
          </w:tcPr>
          <w:p>
            <w:r>
              <w:rPr>
                <w:rFonts w:ascii="Arial" w:cs="Arial" w:eastAsia="Arial" w:hAnsi="Arial"/>
                <w:b/>
                <w:bCs/>
                <w:sz w:val="18"/>
                <w:szCs w:val="18"/>
              </w:rPr>
              <w:t xml:space="preserve">Dividend per share</w:t>
            </w:r>
          </w:p>
        </w:tc>
        <w:tc>
          <w:tcPr>
            <w:tcMar>
              <w:top w:type="dxa" w:w="40"/>
              <w:left w:type="dxa" w:w="80"/>
              <w:bottom w:type="dxa" w:w="40"/>
              <w:right w:type="dxa" w:w="80"/>
            </w:tcMar>
          </w:tcPr>
          <w:p>
            <w:pPr>
              <w:jc w:val="right"/>
            </w:pPr>
            <w:r>
              <w:rPr>
                <w:rFonts w:ascii="Arial" w:cs="Arial" w:eastAsia="Arial" w:hAnsi="Arial"/>
                <w:sz w:val="18"/>
                <w:szCs w:val="18"/>
              </w:rPr>
              <w:t xml:space="preserve">0.10</w:t>
            </w:r>
          </w:p>
        </w:tc>
        <w:tc>
          <w:tcPr>
            <w:tcMar>
              <w:top w:type="dxa" w:w="40"/>
              <w:left w:type="dxa" w:w="80"/>
              <w:bottom w:type="dxa" w:w="40"/>
              <w:right w:type="dxa" w:w="80"/>
            </w:tcMar>
          </w:tcPr>
          <w:p>
            <w:pPr>
              <w:jc w:val="right"/>
            </w:pPr>
            <w:r>
              <w:rPr>
                <w:rFonts w:ascii="Arial" w:cs="Arial" w:eastAsia="Arial" w:hAnsi="Arial"/>
                <w:sz w:val="18"/>
                <w:szCs w:val="18"/>
              </w:rPr>
              <w:t xml:space="preserve">0.08</w:t>
            </w:r>
          </w:p>
        </w:tc>
        <w:tc>
          <w:tcPr>
            <w:tcMar>
              <w:top w:type="dxa" w:w="40"/>
              <w:left w:type="dxa" w:w="80"/>
              <w:bottom w:type="dxa" w:w="40"/>
              <w:right w:type="dxa" w:w="80"/>
            </w:tcMar>
          </w:tcPr>
          <w:p>
            <w:pPr>
              <w:jc w:val="right"/>
            </w:pPr>
            <w:r>
              <w:rPr>
                <w:rFonts w:ascii="Arial" w:cs="Arial" w:eastAsia="Arial" w:hAnsi="Arial"/>
                <w:sz w:val="18"/>
                <w:szCs w:val="18"/>
              </w:rPr>
              <w:t xml:space="preserve">0.00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0.03</w:t>
            </w:r>
          </w:p>
        </w:tc>
        <w:tc>
          <w:tcPr>
            <w:tcMar>
              <w:top w:type="dxa" w:w="40"/>
              <w:left w:type="dxa" w:w="80"/>
              <w:bottom w:type="dxa" w:w="40"/>
              <w:right w:type="dxa" w:w="80"/>
            </w:tcMar>
          </w:tcPr>
          <w:p>
            <w:pPr>
              <w:jc w:val="right"/>
            </w:pPr>
            <w:r>
              <w:rPr>
                <w:rFonts w:ascii="Arial" w:cs="Arial" w:eastAsia="Arial" w:hAnsi="Arial"/>
                <w:sz w:val="18"/>
                <w:szCs w:val="18"/>
              </w:rPr>
              <w:t xml:space="preserve">0.04</w:t>
            </w:r>
          </w:p>
        </w:tc>
        <w:tc>
          <w:tcPr>
            <w:tcMar>
              <w:top w:type="dxa" w:w="40"/>
              <w:left w:type="dxa" w:w="80"/>
              <w:bottom w:type="dxa" w:w="40"/>
              <w:right w:type="dxa" w:w="80"/>
            </w:tcMar>
          </w:tcPr>
          <w:p>
            <w:pPr>
              <w:jc w:val="right"/>
            </w:pPr>
            <w:r>
              <w:rPr>
                <w:rFonts w:ascii="Arial" w:cs="Arial" w:eastAsia="Arial" w:hAnsi="Arial"/>
                <w:sz w:val="18"/>
                <w:szCs w:val="18"/>
              </w:rPr>
              <w:t xml:space="preserve">0.06</w:t>
            </w:r>
          </w:p>
        </w:tc>
      </w:tr>
    </w:tbl>
    <w:p>
      <w:pPr>
        <w:spacing w:after="120"/>
      </w:pPr>
      <w:r>
        <w:rPr>
          <w:rFonts w:ascii="Arial" w:cs="Arial" w:eastAsia="Arial" w:hAnsi="Arial"/>
          <w:i/>
          <w:iCs/>
          <w:color w:val="595959"/>
          <w:sz w:val="16"/>
          <w:szCs w:val="16"/>
        </w:rPr>
        <w:t xml:space="preserve">Sources: SIIL Annual Report 2020; MarketScreener; Gulf Times; SIIL Annual Report 2024; SIIL AGM release dated 11 March 2025; Qatar Stock Exchange AGM result dated 29 March 2026.</w:t>
      </w:r>
    </w:p>
    <w:p>
      <w:pPr>
        <w:pStyle w:val="Heading1"/>
        <w:spacing w:after="120" w:before="240"/>
      </w:pPr>
      <w:r>
        <w:rPr>
          <w:rFonts w:ascii="Arial" w:cs="Arial" w:eastAsia="Arial" w:hAnsi="Arial"/>
          <w:b/>
          <w:bCs/>
          <w:color w:val="1F3864"/>
          <w:sz w:val="26"/>
          <w:szCs w:val="26"/>
        </w:rPr>
        <w:t xml:space="preserve">XII. Appendix</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Attachment</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Category</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Pages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Uploaded</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SIIL  Consol FS English Dec'2024.pdf</w:t>
            </w:r>
          </w:p>
        </w:tc>
        <w:tc>
          <w:tcPr>
            <w:tcMar>
              <w:top w:type="dxa" w:w="40"/>
              <w:left w:type="dxa" w:w="80"/>
              <w:bottom w:type="dxa" w:w="40"/>
              <w:right w:type="dxa" w:w="80"/>
            </w:tcMar>
          </w:tcPr>
          <w:p>
            <w:r>
              <w:rPr>
                <w:rFonts w:ascii="Arial" w:cs="Arial" w:eastAsia="Arial" w:hAnsi="Arial"/>
                <w:sz w:val="18"/>
                <w:szCs w:val="18"/>
              </w:rPr>
              <w:t xml:space="preserve">Audited FS</w:t>
            </w:r>
          </w:p>
        </w:tc>
        <w:tc>
          <w:tcPr>
            <w:tcMar>
              <w:top w:type="dxa" w:w="40"/>
              <w:left w:type="dxa" w:w="80"/>
              <w:bottom w:type="dxa" w:w="40"/>
              <w:right w:type="dxa" w:w="80"/>
            </w:tcMar>
          </w:tcPr>
          <w:p>
            <w:r>
              <w:rPr>
                <w:rFonts w:ascii="Arial" w:cs="Arial" w:eastAsia="Arial" w:hAnsi="Arial"/>
                <w:sz w:val="18"/>
                <w:szCs w:val="18"/>
              </w:rPr>
              <w:t xml:space="preserve">83</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2</w:t>
            </w:r>
          </w:p>
        </w:tc>
        <w:tc>
          <w:tcPr>
            <w:tcMar>
              <w:top w:type="dxa" w:w="40"/>
              <w:left w:type="dxa" w:w="80"/>
              <w:bottom w:type="dxa" w:w="40"/>
              <w:right w:type="dxa" w:w="80"/>
            </w:tcMar>
          </w:tcPr>
          <w:p>
            <w:r>
              <w:rPr>
                <w:rFonts w:ascii="Arial" w:cs="Arial" w:eastAsia="Arial" w:hAnsi="Arial"/>
                <w:sz w:val="18"/>
                <w:szCs w:val="18"/>
              </w:rPr>
              <w:t xml:space="preserve">EN SALAM.pdf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3</w:t>
            </w:r>
          </w:p>
        </w:tc>
        <w:tc>
          <w:tcPr>
            <w:tcMar>
              <w:top w:type="dxa" w:w="40"/>
              <w:left w:type="dxa" w:w="80"/>
              <w:bottom w:type="dxa" w:w="40"/>
              <w:right w:type="dxa" w:w="80"/>
            </w:tcMar>
          </w:tcPr>
          <w:p>
            <w:r>
              <w:rPr>
                <w:rFonts w:ascii="Arial" w:cs="Arial" w:eastAsia="Arial" w:hAnsi="Arial"/>
                <w:sz w:val="18"/>
                <w:szCs w:val="18"/>
              </w:rPr>
              <w:t xml:space="preserve">SIIL FS Q1-2026 English.pdf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30</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4</w:t>
            </w:r>
          </w:p>
        </w:tc>
        <w:tc>
          <w:tcPr>
            <w:tcMar>
              <w:top w:type="dxa" w:w="40"/>
              <w:left w:type="dxa" w:w="80"/>
              <w:bottom w:type="dxa" w:w="40"/>
              <w:right w:type="dxa" w:w="80"/>
            </w:tcMar>
          </w:tcPr>
          <w:p>
            <w:r>
              <w:rPr>
                <w:rFonts w:ascii="Arial" w:cs="Arial" w:eastAsia="Arial" w:hAnsi="Arial"/>
                <w:sz w:val="18"/>
                <w:szCs w:val="18"/>
              </w:rPr>
              <w:t xml:space="preserve">SIIL Group FS -EN 30 June 2025.pdf</w:t>
            </w:r>
          </w:p>
        </w:tc>
        <w:tc>
          <w:tcPr>
            <w:tcMar>
              <w:top w:type="dxa" w:w="40"/>
              <w:left w:type="dxa" w:w="80"/>
              <w:bottom w:type="dxa" w:w="40"/>
              <w:right w:type="dxa" w:w="80"/>
            </w:tcMar>
          </w:tcPr>
          <w:p>
            <w:r>
              <w:rPr>
                <w:rFonts w:ascii="Arial" w:cs="Arial" w:eastAsia="Arial" w:hAnsi="Arial"/>
                <w:sz w:val="18"/>
                <w:szCs w:val="18"/>
              </w:rPr>
              <w:t xml:space="preserve">Audited FS</w:t>
            </w:r>
          </w:p>
        </w:tc>
        <w:tc>
          <w:tcPr>
            <w:tcMar>
              <w:top w:type="dxa" w:w="40"/>
              <w:left w:type="dxa" w:w="80"/>
              <w:bottom w:type="dxa" w:w="40"/>
              <w:right w:type="dxa" w:w="80"/>
            </w:tcMar>
          </w:tcPr>
          <w:p>
            <w:r>
              <w:rPr>
                <w:rFonts w:ascii="Arial" w:cs="Arial" w:eastAsia="Arial" w:hAnsi="Arial"/>
                <w:sz w:val="18"/>
                <w:szCs w:val="18"/>
              </w:rPr>
              <w:t xml:space="preserve">29</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5</w:t>
            </w:r>
          </w:p>
        </w:tc>
        <w:tc>
          <w:tcPr>
            <w:tcMar>
              <w:top w:type="dxa" w:w="40"/>
              <w:left w:type="dxa" w:w="80"/>
              <w:bottom w:type="dxa" w:w="40"/>
              <w:right w:type="dxa" w:w="80"/>
            </w:tcMar>
          </w:tcPr>
          <w:p>
            <w:r>
              <w:rPr>
                <w:rFonts w:ascii="Arial" w:cs="Arial" w:eastAsia="Arial" w:hAnsi="Arial"/>
                <w:sz w:val="18"/>
                <w:szCs w:val="18"/>
              </w:rPr>
              <w:t xml:space="preserve">SIIL Console FS 2025_EN_Signed.pdf</w:t>
            </w:r>
          </w:p>
        </w:tc>
        <w:tc>
          <w:tcPr>
            <w:tcMar>
              <w:top w:type="dxa" w:w="40"/>
              <w:left w:type="dxa" w:w="80"/>
              <w:bottom w:type="dxa" w:w="40"/>
              <w:right w:type="dxa" w:w="80"/>
            </w:tcMar>
          </w:tcPr>
          <w:p>
            <w:r>
              <w:rPr>
                <w:rFonts w:ascii="Arial" w:cs="Arial" w:eastAsia="Arial" w:hAnsi="Arial"/>
                <w:sz w:val="18"/>
                <w:szCs w:val="18"/>
              </w:rPr>
              <w:t xml:space="preserve">Audited FS</w:t>
            </w:r>
          </w:p>
        </w:tc>
        <w:tc>
          <w:tcPr>
            <w:tcMar>
              <w:top w:type="dxa" w:w="40"/>
              <w:left w:type="dxa" w:w="80"/>
              <w:bottom w:type="dxa" w:w="40"/>
              <w:right w:type="dxa" w:w="80"/>
            </w:tcMar>
          </w:tcPr>
          <w:p>
            <w:r>
              <w:rPr>
                <w:rFonts w:ascii="Arial" w:cs="Arial" w:eastAsia="Arial" w:hAnsi="Arial"/>
                <w:sz w:val="18"/>
                <w:szCs w:val="18"/>
              </w:rPr>
              <w:t xml:space="preserve">84</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SIIL -HY 2026-English Signed.pdf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30</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SIIL FS March English 2025.pdf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8</w:t>
            </w:r>
          </w:p>
        </w:tc>
        <w:tc>
          <w:tcPr>
            <w:tcMar>
              <w:top w:type="dxa" w:w="40"/>
              <w:left w:type="dxa" w:w="80"/>
              <w:bottom w:type="dxa" w:w="40"/>
              <w:right w:type="dxa" w:w="80"/>
            </w:tcMar>
          </w:tcPr>
          <w:p>
            <w:r>
              <w:rPr>
                <w:rFonts w:ascii="Arial" w:cs="Arial" w:eastAsia="Arial" w:hAnsi="Arial"/>
                <w:sz w:val="18"/>
                <w:szCs w:val="18"/>
              </w:rPr>
              <w:t xml:space="preserve">SIIL English FS Sep 2025.pdf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15 Sept 2026</w:t>
            </w:r>
          </w:p>
        </w:tc>
      </w:tr>
    </w:tbl>
    <w:p>
      <w:pPr>
        <w:spacing w:after="120"/>
      </w:pPr>
      <w:r>
        <w:rPr>
          <w:rFonts w:ascii="Arial" w:cs="Arial" w:eastAsia="Arial" w:hAnsi="Arial"/>
          <w:sz w:val="20"/>
          <w:szCs w:val="20"/>
        </w:rPr>
        <w:t xml:space="preserve"/>
      </w:r>
    </w:p>
    <w:p>
      <w:pPr>
        <w:spacing w:after="120"/>
      </w:pPr>
      <w:r>
        <w:rPr>
          <w:rFonts w:ascii="Arial" w:cs="Arial" w:eastAsia="Arial" w:hAnsi="Arial"/>
          <w:i/>
          <w:iCs/>
          <w:color w:val="808080"/>
          <w:sz w:val="16"/>
          <w:szCs w:val="16"/>
        </w:rPr>
        <w:t xml:space="preserve">Generated by the CAM Portal on 01 Nov 2026 01:45 — stage 6: Committee Approval.</w:t>
      </w:r>
    </w:p>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20"/>
      <w:jc w:val="center"/>
    </w:pPr>
    <w:r>
      <w:rPr>
        <w:rFonts w:ascii="Arial" w:cs="Arial" w:eastAsia="Arial" w:hAnsi="Arial"/>
        <w:color w:val="808080"/>
        <w:sz w:val="16"/>
        <w:szCs w:val="16"/>
      </w:rPr>
      <w:t xml:space="preserve">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right"/>
    </w:pPr>
    <w:r>
      <w:rPr>
        <w:rFonts w:ascii="Arial" w:cs="Arial" w:eastAsia="Arial" w:hAnsi="Arial"/>
        <w:color w:val="808080"/>
        <w:sz w:val="16"/>
        <w:szCs w:val="16"/>
      </w:rPr>
      <w:t xml:space="preserve">Ahlibank Q.P.S.C. — Credit Appraisal Memorandum — CAM-0008/2026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 CAM-0008/2026</dc:title>
  <dc:creator>CAM Portal</dc:creator>
  <cp:lastModifiedBy>Un-named</cp:lastModifiedBy>
  <cp:revision>1</cp:revision>
  <dcterms:created xsi:type="dcterms:W3CDTF">2026-10-31T22:45:50.642Z</dcterms:created>
  <dcterms:modified xsi:type="dcterms:W3CDTF">2026-10-31T22:45:50.642Z</dcterms:modified>
</cp:coreProperties>
</file>

<file path=docProps/custom.xml><?xml version="1.0" encoding="utf-8"?>
<Properties xmlns="http://schemas.openxmlformats.org/officeDocument/2006/custom-properties" xmlns:vt="http://schemas.openxmlformats.org/officeDocument/2006/docPropsVTypes"/>
</file>